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AF7" w:rsidRDefault="002E054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DF7AF7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F7AF7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F7AF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DF7AF7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2026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01.01.2026</w:t>
            </w:r>
          </w:p>
        </w:tc>
      </w:tr>
      <w:tr w:rsidR="00DF7AF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Мурманская область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91233425</w:t>
            </w:r>
          </w:p>
        </w:tc>
      </w:tr>
      <w:tr w:rsidR="00DF7AF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DF7AF7">
            <w:pPr>
              <w:rPr>
                <w:sz w:val="24"/>
              </w:rPr>
            </w:pPr>
          </w:p>
        </w:tc>
      </w:tr>
      <w:tr w:rsidR="00DF7AF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Консолидированный бюджет (для КСП)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47000000</w:t>
            </w:r>
          </w:p>
        </w:tc>
      </w:tr>
      <w:tr w:rsidR="00DF7AF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F7AF7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F7AF7" w:rsidRDefault="002E054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1. Организационная структура субъекта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бюджетной отчетности</w:t>
      </w:r>
    </w:p>
    <w:p w:rsidR="00DF7AF7" w:rsidRDefault="002E054F">
      <w:pPr>
        <w:shd w:val="clear" w:color="auto" w:fill="FFFFFF"/>
        <w:ind w:left="1140" w:firstLine="360"/>
        <w:jc w:val="both"/>
        <w:rPr>
          <w:color w:val="000000"/>
          <w:shd w:val="clear" w:color="auto" w:fill="FFFFFF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Мурманская область входит в состав Северо-Западного федерального округа и состоит из 6 городских округов, 7 муниципальных округов и 4 муниципальных районов, в состав которых входит 19 поселений, в том числе 10 городских и 9 сельских.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Основными направлениями экономической политики субъекта РФ Мурманской области являются: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производства и предпринимательства с целью увеличения доходов населения, занятости, роста производства товаров и услуг, повышения их качества;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всех форм собственности и обеспечение конкуренции товаропроизводителей;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создание благоприятного инвестиционного климата и стимулирование инвестиций в экономику области, в том числе зарубежных;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приграничного сотрудничества, включая сотрудничество в Баренцевом Евро - Арктическом регионе;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защита отечественных товаропроизводителей; обеспечение экономической безопасности в условиях развития международной конкуренции;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протекционизм в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витии предприятий, имеющих областное и общегосударственное значение, обеспечение в них государственного влияния;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комплексное развитие всех отраслей экономики, повышение конкурентоспособности продукции;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обеспечение комплексной переработки добываемых 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бласти природных ресурсов, внедрение ресурсосберегающих, безотходных и малоотходных технологий, освоение наукоемких производств;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рыбного хозяйства,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марикультуры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аграрно-промышленного комплекса;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защита исконной среды обитания, традиционных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раза жизни, хозяйствования и промыслов коренных народов Севера Российской Федерации;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повышение эффективности управления государственной собственностью Мурманской области.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Основные задачи субъекта Мурманской области: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Разработка и реализация единой госу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дарственной бюджетно-финансовой политики на территории области, в том числе обеспечение в пределах своих полномочий прозрачности (открытости) и публичности информации в сфере управления общественными финансами.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Разработка проекта областного бюджета,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 его исполнения в установленном порядке, составление отчетов об исполнении областного бюджета и консолидированного бюджета Мурманской области.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 Разработка и реализация программ государственных внутренних заимствований Мурманской области, разр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аботка программ государственных гарантий Мурманской области в установленном порядке.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 Концентрация финансовых ресурсов на приоритетных направлениях социально-экономического развития области и муниципальных образований Мурманской области, целевое финанси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рование потребностей регионального и межмуниципального уровня.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Участие в разработке предложений по привлечению в экономику области кредитных ресурсов и источникам их погашения.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 Совершенствование бюджетного процесса в Мурманской области, методов фин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ансового и бюджетного планирования, финансирования и отчетности на территории области.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Осуществление в пределах своих полномочий государственного финансового контроля. 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Мурманской области в рамках соблюдения принципа прозрачности (открытости), устан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овленного статьями 28 и 36 Бюджетного кодекса Российской Федерации, на постоянной основе осуществляются обеспечение прозрачности (открытости) бюджетов и бюджетного процесса Мурманской области.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</w:rPr>
        <w:t>  </w:t>
      </w:r>
    </w:p>
    <w:p w:rsidR="00DF7AF7" w:rsidRDefault="002E054F">
      <w:pPr>
        <w:shd w:val="clear" w:color="auto" w:fill="FFFFFF"/>
        <w:ind w:firstLine="70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2. Результаты деятельности субъекта бюджетной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отчетности.</w:t>
      </w:r>
    </w:p>
    <w:p w:rsidR="00DF7AF7" w:rsidRDefault="002E054F">
      <w:pPr>
        <w:shd w:val="clear" w:color="auto" w:fill="FFFFFF"/>
        <w:ind w:firstLine="70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консолидированного бюджета и бюджета Территориального фонда обязательного медицинского страхования Мурманской области составили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183,1 млрд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на 4,4% (или 7,7 млрд рублей) выше объема поступлений за 2024 год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логовые и неналоговые доходы – 127,6 млрд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(рост к 2024 году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2,7% или 3,4 млрд рублей). При этом неисполнение плановых назначений 2025 года составило в целом по доходам – 1,6% (или 2,9 млрд рублей), по налоговым и неналоговым доходам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4,6 % или 6,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млрд рублей.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областной бюджет доходы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поступили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125,9 млрд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ростом к 2024 году 3,8 % (или на 4,5 млрд рублей) (100,9% от плановых назначений, с превышением на 1,1 млрд рублей), в связи с поступлением межбюджетных трансфертов из федерального бюджета.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Налоговые и неналоговые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98,6 млрд рубл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ростом к 2024 году 3,7 % (или на 3,5 млрд рублей). Плановые назначения по собственным доходам исполнены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96,6%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неисполнение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3,5 млрд рублей)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основном в связи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непоступлением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налога на прибыль от предприятий, ранее входивших в состав КГН (4,6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млрд рублей или 45,5% от годового прогноза по налогу – 10,1 млрд рублей).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Положительная динамика поступлений доходов в консолидированный и областной бюджеты к прошлому году обеспечена за счет роста поступлений 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налогу на доходы физических лиц (на 5,3%)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принятыми на федеральном уровне мерами (увеличение МРОТ и проведение индексации заработной платы отдельных категорий работников) 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налогу на имущество организаций - на 45,9 % за счет перечисления отдельными плательщиками платежей ранее установ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ленного срока (в результате работы и индивидуальных договоренностей Губернатора Мурманской области с крупнейшими налогоплательщиками).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консолидированного бюджета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бюджета Территориального фонда обязательного медицинского страхования Мурманской 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210,5 млрд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на 0,7 % (0,6 млрд рублей) меньше по сравнению с аналогичным периодом прошлого года.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 областного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150,7 млрд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на 2,3 % (3,6 млрд рублей) меньше по сравнению с аналог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 периодом прошлого года, и на 7,6 % (12,3 млрд рублей) меньше уточненных бюджетных назначений.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этом, обеспечили исполнение всех ключевых обязательств, в том числе по нацпроектам,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Реновации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ЗАТО, зарплате и социальным расходам. Никаких сбоев в этой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 не допустили.  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Дефицит областного бюджета – 24,8 млрд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25% от собственных доходов (с учетом корректировки на изменение остатков средств на счете бюджета, расходов за счет КИК, расходов на финансирование мероприятий, связанных с ухудшением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геополитической обстановки в стране - 20%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Бюджетным кодексом РФ дефицит установлен – 15%, по соглашению с Минфином России предельный дефицит -  10%).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Государственный долг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01.01.2026 -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76,5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млрд рублей (78% или 70% с корректировкой по бюджетн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 законодательству Российской Федерации), c ростом к 2024 году на 45,6% (24 млрд рублей), в том числе: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коммерческий долг – 56,3 млрд рублей (73,6 % в структуре долга), рост к 2024 г. – на 22,8 млрд рублей (или на 68%);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бюджетные кредиты – 18,6 млрд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(24,3%),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ИБК, СКК, КИК – 7,8 млрд, задолженность по реструктуризации – 10,8 млрд рублей, рост к 2024 г. – на 1,1 млрд рублей (или на 12,6%);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государственная гарантия – 1,6 млрд рублей (2%).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3. Анализ отчета об исполнении бюджета субъек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том бюджетной отчетности.</w:t>
      </w:r>
    </w:p>
    <w:p w:rsidR="00DF7AF7" w:rsidRDefault="002E054F">
      <w:pPr>
        <w:pBdr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pBd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расходной части за 2025 год по разделам бюджетной классификации характеризуется следующими показателями:</w:t>
      </w:r>
    </w:p>
    <w:p w:rsidR="00DF7AF7" w:rsidRDefault="002E054F">
      <w:pPr>
        <w:pBdr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pBdr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млн. рублей</w:t>
      </w:r>
    </w:p>
    <w:tbl>
      <w:tblPr>
        <w:tblW w:w="9825" w:type="dxa"/>
        <w:tblInd w:w="7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1528"/>
        <w:gridCol w:w="1556"/>
        <w:gridCol w:w="1453"/>
        <w:gridCol w:w="1826"/>
      </w:tblGrid>
      <w:tr w:rsidR="00DF7AF7">
        <w:trPr>
          <w:trHeight w:val="314"/>
        </w:trPr>
        <w:tc>
          <w:tcPr>
            <w:tcW w:w="34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2025 год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Исполнено</w:t>
            </w:r>
          </w:p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 2025 год</w:t>
            </w:r>
          </w:p>
        </w:tc>
        <w:tc>
          <w:tcPr>
            <w:tcW w:w="14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% исполнения плана</w:t>
            </w:r>
          </w:p>
        </w:tc>
        <w:tc>
          <w:tcPr>
            <w:tcW w:w="18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Удельный вес по исполнению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общей сумме расходов (%)</w:t>
            </w:r>
          </w:p>
        </w:tc>
      </w:tr>
      <w:tr w:rsidR="00DF7AF7">
        <w:trPr>
          <w:trHeight w:val="320"/>
        </w:trPr>
        <w:tc>
          <w:tcPr>
            <w:tcW w:w="346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Расходы, в том числе: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228 379,7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210 448,7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92,2</w:t>
            </w:r>
          </w:p>
        </w:tc>
        <w:tc>
          <w:tcPr>
            <w:tcW w:w="182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DF7AF7">
        <w:trPr>
          <w:trHeight w:val="58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12 348,7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11 807,0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95,6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5,6</w:t>
            </w:r>
          </w:p>
        </w:tc>
      </w:tr>
      <w:tr w:rsidR="00DF7AF7">
        <w:trPr>
          <w:trHeight w:val="23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255,9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241,4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94,3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DF7AF7">
        <w:trPr>
          <w:trHeight w:val="284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3 255,9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3 082,8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94,7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</w:tr>
      <w:tr w:rsidR="00DF7AF7">
        <w:trPr>
          <w:trHeight w:val="25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42 818,7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32 733,9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76,4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15,6</w:t>
            </w:r>
          </w:p>
        </w:tc>
      </w:tr>
      <w:tr w:rsidR="00DF7AF7">
        <w:trPr>
          <w:trHeight w:val="272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17 536,1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16 194,4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92,3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7,7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1 361,9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942,3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69,2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50 907,9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49 778,2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97,8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23,7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8 357,7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7 651,3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91,5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3,6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43 216,6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41 651,5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19,8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32 844,9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32 466,1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98,8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15,4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5 483,3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5 232,1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95,4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2,5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  477,4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474,4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99,4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295,3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8 193,3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98,8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DF7AF7">
        <w:trPr>
          <w:trHeight w:val="5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1 219,3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DF7AF7" w:rsidRDefault="002E054F">
      <w:pPr>
        <w:pBdr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pBdr>
        <w:jc w:val="right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pBdr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pBd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со значительным снижением поступлений доходов в течение 2025 года резко выросла долговая нагрузка вследствие привлечения большого объема дорогостоящих краткосрочных коммерческих кредитов. </w:t>
      </w:r>
    </w:p>
    <w:p w:rsidR="00DF7AF7" w:rsidRDefault="002E054F">
      <w:pPr>
        <w:pBdr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pBdr>
        <w:ind w:firstLine="70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параметры исполнения консолидированного бюджета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урманской области за 2025 год представлены в таблице:</w:t>
      </w:r>
    </w:p>
    <w:p w:rsidR="00DF7AF7" w:rsidRDefault="002E054F">
      <w:pPr>
        <w:ind w:firstLine="54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млн рублей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tbl>
      <w:tblPr>
        <w:tblW w:w="10155" w:type="dxa"/>
        <w:tblInd w:w="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1528"/>
        <w:gridCol w:w="1556"/>
        <w:gridCol w:w="2167"/>
      </w:tblGrid>
      <w:tr w:rsidR="00DF7AF7">
        <w:trPr>
          <w:trHeight w:val="314"/>
        </w:trPr>
        <w:tc>
          <w:tcPr>
            <w:tcW w:w="4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Исполнено </w:t>
            </w:r>
          </w:p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01.01.2025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Исполнено </w:t>
            </w:r>
          </w:p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01.01.2026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увеличение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+)/</w:t>
            </w:r>
            <w:proofErr w:type="gramEnd"/>
          </w:p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уменьшение (-)</w:t>
            </w:r>
          </w:p>
        </w:tc>
      </w:tr>
      <w:tr w:rsidR="00DF7AF7">
        <w:tc>
          <w:tcPr>
            <w:tcW w:w="4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Доходы, всего, в том числе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150 816,7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183 133,2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+32 316,5</w:t>
            </w:r>
          </w:p>
        </w:tc>
      </w:tr>
      <w:tr w:rsidR="00DF7AF7">
        <w:trPr>
          <w:trHeight w:val="246"/>
        </w:trPr>
        <w:tc>
          <w:tcPr>
            <w:tcW w:w="490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123 991,6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127 716,6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+3 725,0</w:t>
            </w:r>
          </w:p>
        </w:tc>
      </w:tr>
      <w:tr w:rsidR="00DF7AF7">
        <w:trPr>
          <w:trHeight w:val="214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26 825,2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55 416,6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+28 591,4</w:t>
            </w:r>
          </w:p>
        </w:tc>
      </w:tr>
      <w:tr w:rsidR="00DF7AF7">
        <w:trPr>
          <w:trHeight w:val="320"/>
        </w:trPr>
        <w:tc>
          <w:tcPr>
            <w:tcW w:w="4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Расходы, в том числе: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183 967,4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210 448,7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+26 481,3</w:t>
            </w:r>
          </w:p>
        </w:tc>
      </w:tr>
      <w:tr w:rsidR="00DF7AF7">
        <w:trPr>
          <w:trHeight w:val="58"/>
        </w:trPr>
        <w:tc>
          <w:tcPr>
            <w:tcW w:w="490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11 825,6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11 807,0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-18,6</w:t>
            </w:r>
          </w:p>
        </w:tc>
      </w:tr>
      <w:tr w:rsidR="00DF7AF7">
        <w:trPr>
          <w:trHeight w:val="23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161,0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241,4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+80,4</w:t>
            </w:r>
          </w:p>
        </w:tc>
      </w:tr>
      <w:tr w:rsidR="00DF7AF7">
        <w:trPr>
          <w:trHeight w:val="284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правоохранительная деятельность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3 033,5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3 082,8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+49,3</w:t>
            </w:r>
          </w:p>
        </w:tc>
      </w:tr>
      <w:tr w:rsidR="00DF7AF7">
        <w:trPr>
          <w:trHeight w:val="25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35 797,6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32 733,9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-3 063,7</w:t>
            </w:r>
          </w:p>
        </w:tc>
      </w:tr>
      <w:tr w:rsidR="00DF7AF7">
        <w:trPr>
          <w:trHeight w:val="272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22 544,2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16 194,4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-6 349,8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405,9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942,3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+536,4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48 302,2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49 778,2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+1 476,0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7 450,1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7 651,3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+201,2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13 926,4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41 651,5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+27 725,1</w:t>
            </w:r>
          </w:p>
        </w:tc>
      </w:tr>
      <w:tr w:rsidR="00DF7AF7">
        <w:trPr>
          <w:trHeight w:val="58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32 129,0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32 466,1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+337,1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5 385,6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5 232,1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-153,5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530,1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474,4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-55,7</w:t>
            </w:r>
          </w:p>
        </w:tc>
      </w:tr>
      <w:tr w:rsidR="00DF7AF7">
        <w:trPr>
          <w:trHeight w:val="57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Обслуживание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государственного (муниципального) долга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2 476,2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8 193,3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+5 717,1</w:t>
            </w:r>
          </w:p>
        </w:tc>
      </w:tr>
      <w:tr w:rsidR="00DF7AF7">
        <w:tc>
          <w:tcPr>
            <w:tcW w:w="4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Дефицит(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-)/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Профицит(+)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- 33 150,7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-27 315,5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-5 835,2</w:t>
            </w:r>
          </w:p>
        </w:tc>
      </w:tr>
      <w:tr w:rsidR="00DF7AF7">
        <w:tc>
          <w:tcPr>
            <w:tcW w:w="490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Государственный долг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52 527,9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76 502,9</w:t>
            </w:r>
          </w:p>
        </w:tc>
        <w:tc>
          <w:tcPr>
            <w:tcW w:w="216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+23 975,0</w:t>
            </w:r>
          </w:p>
        </w:tc>
      </w:tr>
      <w:tr w:rsidR="00DF7AF7">
        <w:trPr>
          <w:trHeight w:val="18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Муниципальный долг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2 875,1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6 979,6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+4 104,5</w:t>
            </w:r>
          </w:p>
        </w:tc>
      </w:tr>
    </w:tbl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4. Анализ показателей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бухгалтерской отчетности субъекта бюджетной отчетности.</w:t>
      </w:r>
      <w:r>
        <w:rPr>
          <w:rFonts w:ascii="Courier New" w:eastAsia="Courier New" w:hAnsi="Courier New" w:cs="Courier New"/>
          <w:color w:val="000000"/>
        </w:rPr>
        <w:t> 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Пояснительной записки (ф.0503360) представлены: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движении нефинансовых активов (ф. 0503368);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по дебиторской и кредиторской задолженности (ф. 0503369);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финансовых вложениях получателя бюджетных средств, администратора источников финансирования дефицита бюджета (ф. 0503371);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государственном (муниципальном) долге (ф. 0503372);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изменении остатков валюты баланса (ф. 0503373).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4.1. Све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дения о движении нефинансовых активов консолидированного бюджета (ф.0503368)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По строке 560 «Вложения в объекты государственной (муниципальной) казны», в графе 22 числятся объекты незавершенного строительства, квартиры для переселения граждан из аварийного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жилья, затраты по благоустройству, приобретение оборудования на сумму 107,98 млн. рублей.</w:t>
      </w:r>
    </w:p>
    <w:p w:rsidR="00DF7AF7" w:rsidRDefault="002E054F">
      <w:pPr>
        <w:shd w:val="clear" w:color="auto" w:fill="FFFFFF"/>
        <w:ind w:firstLine="4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4.2. Сведения по дебиторской и кредиторской задолженности (ф.0503369)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Дебиторская задолженность по бюджетной деятельности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консолидированного бюджета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Мурманской области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сумма дебиторской задолженности по бюджетной деятельности по консолидированному бюджету Мурманской области на 01.01.2026 составила 121 479,9 млн. рублей, в том числе просроченная задолженность в сумме 9 006,5 млн. рублей.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Наибол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ьшая сумма дебиторской задолженности образовалась по счетам: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- 1 205 51 000 «Расчеты по поступлениям текущего характера от других бюджетов бюджетной системы Российской Федерации», 1 205 61 000 «Расчеты по безвозмездным денежным поступления капитального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характера» в сумме 46 659,9 млн. рублей (38% общего объема задолженности). Задолженность образовалась от представления межбюджетных трансфертов, начисленных в соответствии СГС «Доходы»;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- 1 206 00 000 «Расчеты по выданным авансам» в сумме 22 389,9 млн рубл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ей (18% общего объема задолженности). Задолженность образовалась по выданным авансам согласно условиям по заключенным договорами и контрактам; 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- 1 205 23 000 «Расчеты по доходам от платежей при пользовании природными ресурсами» в сумме 35 383,8 млн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(29% общего объема задолженности). Задолженность образовалась за счет физических и юридических лиц по арендной плате за земельные участки. В соответствии с СГС «Аренда» произведены начисления сумм арендных платежей по справедливой стоимости по договорам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аренды.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Просроченная дебиторская задолженность увеличилась на 6 263,2 млн. рублей и на конец 2025 года составила 9 006,5млн. рублей. 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Наибольшая сумма просроченной дебиторской задолженности образовалась по счетам: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- 1 206 00 000 «Расчеты по выданным аванса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м» в сумме 6 599,0 млн рублей. Задолженность образовалась по выданным авансам согласно условиям по заключенным договорами и контрактам, в связи с несвоевременным и недобросовестным исполнением подрядными организациями своих обязательств,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длительног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устранения подрядными организациями замечаний к проектной документации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- 1 209 00 000 «Расчеты по ущербам и иным доходам» в сумме 511,7 млн. рублей. Задолженность образовалась в связи с принятием решения об одностороннем отказе от исполнения государстве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нного контракта на выполнение работ. В настоящее время документы о взыскании части неотработанного аванса направлены в арбитражный суд;</w:t>
      </w:r>
    </w:p>
    <w:p w:rsidR="00DF7AF7" w:rsidRDefault="002E054F">
      <w:pPr>
        <w:shd w:val="clear" w:color="auto" w:fill="FFFFFF"/>
        <w:spacing w:line="360" w:lineRule="atLeast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- 1 205 11 000 «Расчеты с плательщиками налогов», 1 205 12 000 «Расчеты с плательщиками государственных пошлин, сборов»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637,6 млн. рублей – задолженность образовалась в связи с несвоевременной уплатой текущих начислений по налогам, в связи с чем, налоговыми органами Мурманской области применяются меры принудительного взыскания в соответствии с Налоговым кодексом 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 Федерации.</w:t>
      </w:r>
    </w:p>
    <w:p w:rsidR="00DF7AF7" w:rsidRDefault="002E054F">
      <w:pPr>
        <w:shd w:val="clear" w:color="auto" w:fill="FFFFFF"/>
        <w:spacing w:line="360" w:lineRule="atLeast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сокращению дебиторской задолженности принимаются меры:</w:t>
      </w:r>
    </w:p>
    <w:p w:rsidR="00DF7AF7" w:rsidRDefault="002E054F">
      <w:pPr>
        <w:shd w:val="clear" w:color="auto" w:fill="FFFFFF"/>
        <w:spacing w:line="360" w:lineRule="atLeast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завершение расчетов и принятие ранее авансированных работ (услуг);</w:t>
      </w:r>
    </w:p>
    <w:p w:rsidR="00DF7AF7" w:rsidRDefault="002E054F">
      <w:pPr>
        <w:shd w:val="clear" w:color="auto" w:fill="FFFFFF"/>
        <w:spacing w:line="360" w:lineRule="atLeast"/>
        <w:ind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отказ от последующего авансирования выполняемых работ, предусмотренного договором (государственным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контрактом), в случае нарушения сроков выполнения по текущем работам (отказ от «револьверного» авансирования при нарушении условий договора);</w:t>
      </w:r>
    </w:p>
    <w:p w:rsidR="00DF7AF7" w:rsidRDefault="002E054F">
      <w:pPr>
        <w:shd w:val="clear" w:color="auto" w:fill="FFFFFF"/>
        <w:spacing w:line="360" w:lineRule="atLeast"/>
        <w:ind w:firstLine="28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пересмотр потребности в авансировании контракта и внесение изменений в порядок оплаты обязательств по контракту;</w:t>
      </w:r>
    </w:p>
    <w:p w:rsidR="00DF7AF7" w:rsidRDefault="002E054F">
      <w:pPr>
        <w:shd w:val="clear" w:color="auto" w:fill="FFFFFF"/>
        <w:spacing w:line="360" w:lineRule="atLeast"/>
        <w:ind w:firstLine="28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пересмотр условий по авансированию контракта и внесение изменений в порядок оплаты обязательств по контракту, предусматривающий оплату по факту оказания услуги, выполнения работ, поставки товаров.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Динамика изменения дебиторской задолженности (далее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ДЗ), в том числе просроченной задолженности (далее ПДЗ) консолидированного бюджета Мурманской области за 2025 год</w:t>
      </w:r>
    </w:p>
    <w:p w:rsidR="00DF7AF7" w:rsidRDefault="002E054F">
      <w:pPr>
        <w:shd w:val="clear" w:color="auto" w:fill="FFFFFF"/>
        <w:jc w:val="right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tbl>
      <w:tblPr>
        <w:tblW w:w="1147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569"/>
        <w:gridCol w:w="877"/>
        <w:gridCol w:w="1289"/>
        <w:gridCol w:w="1285"/>
        <w:gridCol w:w="1359"/>
        <w:gridCol w:w="1418"/>
      </w:tblGrid>
      <w:tr w:rsidR="00DF7AF7">
        <w:trPr>
          <w:jc w:val="center"/>
        </w:trPr>
        <w:tc>
          <w:tcPr>
            <w:tcW w:w="367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счета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бюджетного учета</w:t>
            </w:r>
          </w:p>
        </w:tc>
        <w:tc>
          <w:tcPr>
            <w:tcW w:w="24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 начало 2025 года</w:t>
            </w:r>
          </w:p>
        </w:tc>
        <w:tc>
          <w:tcPr>
            <w:tcW w:w="2572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 конец 2025 года</w:t>
            </w:r>
          </w:p>
        </w:tc>
        <w:tc>
          <w:tcPr>
            <w:tcW w:w="277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Сумма отклонений</w:t>
            </w:r>
          </w:p>
        </w:tc>
      </w:tr>
      <w:tr w:rsidR="00DF7AF7">
        <w:trPr>
          <w:jc w:val="center"/>
        </w:trPr>
        <w:tc>
          <w:tcPr>
            <w:tcW w:w="3676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ДЗ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 том числе ПДЗ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ДЗ 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 том числе ПДЗ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ДЗ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 том числе ПДЗ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Расчеты по доходам,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76 725,9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1832,7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98 897,3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2 467,5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ind w:left="28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+ 22 171,4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+ 634,8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расчеты с плательщиками налоговых доходов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4 494,8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561,9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10 156,7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637,5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ind w:left="28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+ 5 661,9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+ 75,6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расчеты по доходам от собственности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14 735,6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291,5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36 654,0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507,3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+ 21 918,4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+ 215,8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расчеты по доходам от оказания платных услуг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33,8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17,6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36,5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23,0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+ 5,4</w:t>
            </w:r>
          </w:p>
        </w:tc>
      </w:tr>
      <w:tr w:rsidR="00DF7AF7">
        <w:trPr>
          <w:trHeight w:val="579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расчеты по суммам штрафов, пеней, неустоек, возмещений ущерба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1 877,5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956,3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2 592,9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1 299,5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+ 715,4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+ 343,2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расчеты по безвозмездным денежным поступлениям 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55 232,6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49 174,6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- 6 058,0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-расчеты по прочим доходам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351,6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-5,4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282,6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0,2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- 5,2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Расчеты по выданным авансам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18 957,1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910,5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22 389,9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6 598,9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+ 3 432,8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+ 5 687,4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Расчеты с подотчетными лицами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6,2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5,1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- 1,1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Расчеты по ущербу и иным доходам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1 336,8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649,3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1 304,6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696,2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- 32,2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+ 46,9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Расчеты по платежам в бюджеты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183,8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187,5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-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F7AF7">
        <w:trPr>
          <w:jc w:val="center"/>
        </w:trPr>
        <w:tc>
          <w:tcPr>
            <w:tcW w:w="36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ВСЕГО</w:t>
            </w:r>
          </w:p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62 652,4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2 696,0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121 479,9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2 988,8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DF7AF7" w:rsidRDefault="002E054F">
      <w:pPr>
        <w:shd w:val="clear" w:color="auto" w:fill="FFFFFF"/>
        <w:spacing w:line="360" w:lineRule="atLeast"/>
        <w:ind w:firstLine="28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Кредиторская задолженность по бюджетной деятельности 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консолидированного бюджета по Мурманской области</w:t>
      </w:r>
    </w:p>
    <w:p w:rsidR="00DF7AF7" w:rsidRDefault="002E054F">
      <w:pPr>
        <w:shd w:val="clear" w:color="auto" w:fill="FFFFFF"/>
        <w:spacing w:line="360" w:lineRule="atLeast"/>
        <w:ind w:firstLine="28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Кредиторская задолженность за 2025 год увеличилась на 4 635,7 млн. рублей и составляет 19 557,0 млн. рублей.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по счету 1 205 00 000 «Расчеты по доходам» в сумме 7 046,6 млн.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 на конец 2025 года сложилась в основном по налоговым доходам, администрируемые ФНС России, в связи с уплатой авансовых платежей.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по счету 1 302 00 000 «Расчеты по принятым обязательствам» - текущая задолженность, образовавшая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в основном вследствие привлечения свободных остатков средств бюджетных и автономных учреждений, а также средств во временном распоряжении казенных учреждений в сумме 11 784,1 млн. рублей.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2025 год общий объем просроченной кредиторской задолженности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онсолидированного бюджета Мурманской области по сравнению с 2024 годом увеличился на 26,5 млн рублей. 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кредиторская задолженность в сумме 92,7 млн. рублей образовалась в учреждениях Кольского района за счет исполнительных листов, предъявленных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субсидиарная ответственность по долгам муниципальных бюджетных учреждений, на 1 января 2011 года до вступления в силу Федерального закона от 08.05.2010 № 83-ФЗ «О внесении изменений в отдельные законодательные акты Российской Федерации в связи с совер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шенствованием правового положения государственных (муниципальных) учреждений».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решением Совета депутатов Кольского округа от 26.09.2025 №1/15 «О правопреемстве вновь образованного муниципального образования Кольский муниципальный округ Мур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манской области» Администрация Кольского округа является правопреемником 11 муниципальных образований городских и сельских поселений Кольского района, в том числе по судебным решениям, предъявленным для исполнения в Управление Федерального казначейства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Мурманской области.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Основную сумму взысканий составляет кредиторская задолженность подведомственных ликвидируемым администрациям учреждений - МБУ «СЕЗ МО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Верхнетуломский, Управление делами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Верхнетуломский, МБУ «СЕЗ МО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Кильдинстрой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а также судебные решения о привлечении администраций поселений к субсидиарной ответственности.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Погашение просроченной кредиторской задолженности планируется осуществлять поэтапно в 2026 году за счет средств иного межбюджетного трансферта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областного бюджета и средств бюджета Кольского района.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Муниципальным образованиям Мурманской области рекомендовано избегать необоснованных, не первоочередных расходов местного бюджета, 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допускать фактов превышения доведенных лимитов при осуществлении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упок товаров, работ, услуг для муниципальных нужд, а также обеспечивать должный муниципальный контроль.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4.3. Сведения о финансовых вложениях (ф.0503371)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финансовые вложения в государственные и муниципальные учреждения увеличились на 133,0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 рублей и составили 124 556,8 млн. рублей.</w:t>
      </w:r>
    </w:p>
    <w:p w:rsidR="00DF7AF7" w:rsidRDefault="002E054F">
      <w:pPr>
        <w:spacing w:beforeAutospacing="1" w:afterAutospacing="1"/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Сведения об акциях (счет 1 204 31 000)</w:t>
      </w:r>
    </w:p>
    <w:tbl>
      <w:tblPr>
        <w:tblW w:w="10320" w:type="dxa"/>
        <w:tblInd w:w="-11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8"/>
        <w:gridCol w:w="1677"/>
        <w:gridCol w:w="6495"/>
      </w:tblGrid>
      <w:tr w:rsidR="00DF7AF7">
        <w:trPr>
          <w:trHeight w:val="300"/>
        </w:trPr>
        <w:tc>
          <w:tcPr>
            <w:tcW w:w="2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81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Эмитент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6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6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организации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6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5100000042</w:t>
            </w:r>
          </w:p>
        </w:tc>
        <w:tc>
          <w:tcPr>
            <w:tcW w:w="64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"ФАРМАЦИЯ"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261 899 368,32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5101360351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"АПАТИТЫВОДОКАНАЛ"</w:t>
            </w:r>
          </w:p>
        </w:tc>
      </w:tr>
      <w:tr w:rsidR="00DF7AF7">
        <w:trPr>
          <w:trHeight w:val="9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5101600300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"КОЛЬСКИЙ ГЕОЛОГИЧЕСКИЙ ИНФОРМАЦИОННО-ЛАБОРАТОРНЫЙ ЦЕНТР"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82 721 592,00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5105013366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"ГОРОДСКИЕ СЕТИ"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149 880 900,00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5107908771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"МОНЧЕГОРСКИЕ ЭЛЕКТРИЧЕСКИЕ СЕТИ"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642 300,00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5107909951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"МОНЧЕГОРСКВОДОКАНАЛ"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736 657 732,00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5118007761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"АПАТИТСКАЯ ЭЛЕКТРОСЕТЕВАЯ КОМПАНИЯ"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1 638 672 766,00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5190028145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"КОРПОРАЦИЯ РАЗВИТИЯ МУРМАНСКОЙ ОБЛАСТИ"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23 655,00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5190143028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"ОТЕЛЬ ГУБЕРНСКИЙ"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510 899 999,00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5190197680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"МУРМАНСКАЯ ОБЛАСТНАЯ ЭЛЕКТРОСЕТЕВАЯ КОМПАНИЯ"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6 620 572 869,84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5190907139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"МУРМАНЭНЕРГОСБЫТ"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1 443,00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5193101033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"МУРМАНОБЛГАЗ"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5193101033</w:t>
            </w:r>
          </w:p>
        </w:tc>
        <w:tc>
          <w:tcPr>
            <w:tcW w:w="6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Мурманоблгаз</w:t>
            </w:r>
            <w:proofErr w:type="spellEnd"/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48 463 000,00</w:t>
            </w:r>
          </w:p>
        </w:tc>
        <w:tc>
          <w:tcPr>
            <w:tcW w:w="16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5110002465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ОАО "Центр транспортного обслуживания"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1 610 174 700,00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5190010853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"СЕВЕР"</w:t>
            </w:r>
          </w:p>
        </w:tc>
      </w:tr>
      <w:tr w:rsidR="00DF7AF7">
        <w:trPr>
          <w:trHeight w:val="537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53 280 909,00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5190020516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"БЮРО СПЕЦОБСЛУЖИВАНИЯ"</w:t>
            </w:r>
          </w:p>
        </w:tc>
      </w:tr>
      <w:tr w:rsidR="00DF7AF7">
        <w:trPr>
          <w:trHeight w:val="9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146 520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5190075650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 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МУРМАНСКИЙ РЕГИСТРАЦИОННО-ИНФОРМАЦИОННЫЙ ВЫЧИСЛИТЕЛЬНЫЙ ЦЕНТР"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565 656 280,00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5190119547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общество "Мурманская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горэлектросеть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5 586 000,00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5190140267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"ДЕНТА"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232 184 000,00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5190151357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 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ОТЕЛЬ  АРКТИКА"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856 640 175,00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5190193597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 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ЭЛЕКТРОТРАНСПОРТ ГОРОДА МУРМАНСКА"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68 054 000,00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5190194022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 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ФАРМАЦИЯ МУРМАНСКА"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5193101033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ОАО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Мурманоблгаз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152 248 100,00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5107908771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"МОНЧЕГОРСКИЕ ЭЛЕКТРИЧЕСКИЕ СЕТИ"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47 810 100,00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5107909768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Мончегорская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теплосеть"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1 471 000,00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5107909920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"СИНЕМА"</w:t>
            </w:r>
          </w:p>
        </w:tc>
      </w:tr>
      <w:tr w:rsidR="00DF7AF7">
        <w:trPr>
          <w:trHeight w:val="6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5101307196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ответственностью "Норд-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651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5101307661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Некоммерческое партнерство содействия развитию малого и среднего предпринимательства "Выставочный центр"</w:t>
            </w:r>
          </w:p>
        </w:tc>
      </w:tr>
      <w:tr w:rsidR="00DF7AF7">
        <w:trPr>
          <w:trHeight w:val="419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5101308055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Полимер-К"</w:t>
            </w:r>
          </w:p>
        </w:tc>
      </w:tr>
      <w:tr w:rsidR="00DF7AF7">
        <w:trPr>
          <w:trHeight w:val="9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5101308993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"Редакция региональной общественно-политической газеты "Кировский рабочий"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5101360263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"Аэропорт"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274 235 999,83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5101360376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Апатитыэнерго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5103070048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"ХИБКОМПРЭ"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24 070,00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5103313023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"Эдельвейс"</w:t>
            </w:r>
          </w:p>
        </w:tc>
      </w:tr>
      <w:tr w:rsidR="00DF7AF7">
        <w:trPr>
          <w:trHeight w:val="9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5193101033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по газификации и эксплуатации газового хозяйства Мурманской области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Мурманоблгаз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5103060650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Коласпортланд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255 307 434,00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5103300277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ОАО "КРИ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г.Кировска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81 242 001,00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7743698620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 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АВЕЛОН"</w:t>
            </w:r>
          </w:p>
        </w:tc>
      </w:tr>
      <w:tr w:rsidR="00DF7AF7">
        <w:trPr>
          <w:trHeight w:val="70"/>
        </w:trPr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14 474 735 401,09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Сведения об участии в государственных (муниципальных) предприятиях 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(счет 1 204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32 000)</w:t>
      </w:r>
    </w:p>
    <w:tbl>
      <w:tblPr>
        <w:tblW w:w="10395" w:type="dxa"/>
        <w:tblInd w:w="-6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3"/>
        <w:gridCol w:w="1678"/>
        <w:gridCol w:w="6610"/>
      </w:tblGrid>
      <w:tr w:rsidR="00DF7AF7">
        <w:trPr>
          <w:trHeight w:val="516"/>
        </w:trPr>
        <w:tc>
          <w:tcPr>
            <w:tcW w:w="2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Сумма</w:t>
            </w:r>
          </w:p>
        </w:tc>
        <w:tc>
          <w:tcPr>
            <w:tcW w:w="81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Эмитент</w:t>
            </w:r>
          </w:p>
        </w:tc>
      </w:tr>
      <w:tr w:rsidR="00DF7AF7">
        <w:trPr>
          <w:trHeight w:val="60"/>
        </w:trPr>
        <w:tc>
          <w:tcPr>
            <w:tcW w:w="2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6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ИНН</w:t>
            </w:r>
          </w:p>
        </w:tc>
        <w:tc>
          <w:tcPr>
            <w:tcW w:w="65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организации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614 396 361,97</w:t>
            </w:r>
          </w:p>
        </w:tc>
        <w:tc>
          <w:tcPr>
            <w:tcW w:w="1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5105020275</w:t>
            </w:r>
          </w:p>
        </w:tc>
        <w:tc>
          <w:tcPr>
            <w:tcW w:w="6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ГОУСП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Тулома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5106000176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ГОУП "Водоканал-Ревда"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5109004556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ГОУП "Сети Никеля"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44 500 000,00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5110120910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Североморскодоканал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82 015 000,00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5102006040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Кандалакшаводоканал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3 069 237 067,90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5193600346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Мурманскводоканал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384 514 801,12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5192110050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областное унитарное предприятие "Универсальный спортивно-досуговый центр"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113 083,09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5102000619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унитарное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предприятие жилищно-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коммунального  хозяйства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"Вымпел"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Зеленоборский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5102003507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Ресурс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5102006882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унитарное предприятие Управляющая компания "Результат"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5105020613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Кольского округа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5111002718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"Сервис"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19 837 004,63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5112100059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УМПП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Жилкомхоз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ЗАТО Александровск Мурманской области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3 459 084,00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5114020024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МУПСИСМИ "Инфо-Спутник"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12 454 135,60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5114120981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"Городская электрическая сеть" ЗАТО г. Островной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1 377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248,33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5115300200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УНИТАРНОЕ ПРЕДПРИЯТИЕ "ДОРОЖНО-ТРАНСПОРТНОЕ ХОЗЯЙСТВО" ЗАТО ГОРОД ЗАОЗЕРСК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5190112171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МУРМАНСКОЕ МУНИЦИПАЛЬНОЕ УНИТАРНОЕ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ПРЕДПРИЯТИЕ  ЖИЛЭКСПЛУАТАЦИЯ</w:t>
            </w:r>
            <w:proofErr w:type="gramEnd"/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5190932618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УНИТАРНОЕ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ПРЕДПРИЯТИЕ  МУРМАНСКАЯ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УПРАВЛЯЮЩАЯ КОМПАНИЯ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5101200527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унитарное предприятие города Апатиты "Аметист"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5103301030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унитарное предприятие "Хибины"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47 850 433,00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5104001449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"Ена"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84 032,74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5107110492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автономное учреждение "Газета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Мончегорский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рабочий"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149 528 000,00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5107910717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"ГОРОДСКОЕ БЛАГОУСТРОЙСТВО"</w:t>
            </w:r>
          </w:p>
        </w:tc>
      </w:tr>
      <w:tr w:rsidR="00DF7AF7">
        <w:trPr>
          <w:trHeight w:val="9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5117000065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УНИТАРНОЕ ПРЕДПРИЯТИЕ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 ПОЛЯРНЫЕ ЗОРИ С ПОДВЕДОМСТВЕННОЙ ТЕРРИТОРИЕЙ "ЭНЕРГИЯ"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5109003739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"Жилищный сервис"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11 567 600,00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5109004563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"Жилфонд"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5109004718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"Тепловые сети"</w:t>
            </w:r>
          </w:p>
        </w:tc>
      </w:tr>
      <w:tr w:rsidR="00DF7AF7">
        <w:trPr>
          <w:trHeight w:val="6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371 763,79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5109002037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МКП "Жилищное хозяйство"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Печенгского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округа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33 290 924,84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5103301496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МУП "УК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Горэлектросеть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1 614 000,00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5118007257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"Фармация"</w:t>
            </w:r>
          </w:p>
        </w:tc>
      </w:tr>
      <w:tr w:rsidR="00DF7AF7">
        <w:trPr>
          <w:trHeight w:val="30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4 549 213 541,01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Сведения о вложении в уставный фонд государственных (муниципальных) предприятий (счет 1 215 32 000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0500" w:type="dxa"/>
        <w:tblInd w:w="-1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1749"/>
        <w:gridCol w:w="6611"/>
      </w:tblGrid>
      <w:tr w:rsidR="00DF7AF7">
        <w:trPr>
          <w:trHeight w:val="188"/>
        </w:trPr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Эмитент</w:t>
            </w:r>
          </w:p>
        </w:tc>
      </w:tr>
      <w:tr w:rsidR="00DF7AF7">
        <w:trPr>
          <w:trHeight w:val="60"/>
        </w:trPr>
        <w:tc>
          <w:tcPr>
            <w:tcW w:w="2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</w:tr>
      <w:tr w:rsidR="00DF7AF7">
        <w:trPr>
          <w:trHeight w:val="900"/>
        </w:trPr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51 881 971,63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5105020275</w:t>
            </w:r>
          </w:p>
        </w:tc>
        <w:tc>
          <w:tcPr>
            <w:tcW w:w="65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ОБЛАСТНОЕ УНИТАРНОЕ СЕЛЬСКОХОЗЯЙСТВЕННОЕ ПРЕДПРИЯТИЕ (ПЛЕМЕННОЙ РЕПРОДУКТОР) "ТУЛОМА"</w:t>
            </w:r>
          </w:p>
        </w:tc>
      </w:tr>
      <w:tr w:rsidR="00DF7AF7">
        <w:trPr>
          <w:trHeight w:val="300"/>
        </w:trPr>
        <w:tc>
          <w:tcPr>
            <w:tcW w:w="2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348 029 593,64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5110120910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Североморскодоканал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300"/>
        </w:trPr>
        <w:tc>
          <w:tcPr>
            <w:tcW w:w="2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472 724 710,20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5193600346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ГОУП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Мурманскводоканал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600"/>
        </w:trPr>
        <w:tc>
          <w:tcPr>
            <w:tcW w:w="2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1 269 217,35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5192110050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областное унитарное предприятие "Универсальный спортивно-досуговый центр"</w:t>
            </w:r>
          </w:p>
        </w:tc>
      </w:tr>
      <w:tr w:rsidR="00DF7AF7">
        <w:trPr>
          <w:trHeight w:val="30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873 905 492,82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F7AF7" w:rsidRDefault="002E054F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</w:t>
      </w:r>
    </w:p>
    <w:p w:rsidR="00DF7AF7" w:rsidRDefault="002E054F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Сведения о вложении в государственные (муниципальные) учреждения </w:t>
      </w:r>
    </w:p>
    <w:p w:rsidR="00DF7AF7" w:rsidRDefault="002E054F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(счет 1 215 33 000)</w:t>
      </w:r>
    </w:p>
    <w:p w:rsidR="00DF7AF7" w:rsidRDefault="002E054F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945" w:type="dxa"/>
        <w:tblInd w:w="-12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687"/>
        <w:gridCol w:w="6058"/>
      </w:tblGrid>
      <w:tr w:rsidR="00DF7AF7">
        <w:trPr>
          <w:trHeight w:val="409"/>
        </w:trPr>
        <w:tc>
          <w:tcPr>
            <w:tcW w:w="2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Эмитент</w:t>
            </w:r>
          </w:p>
        </w:tc>
      </w:tr>
      <w:tr w:rsidR="00DF7AF7">
        <w:trPr>
          <w:trHeight w:val="60"/>
        </w:trPr>
        <w:tc>
          <w:tcPr>
            <w:tcW w:w="2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6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организации</w:t>
            </w:r>
          </w:p>
        </w:tc>
      </w:tr>
      <w:tr w:rsidR="00DF7AF7">
        <w:trPr>
          <w:trHeight w:val="1422"/>
        </w:trPr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836 973,32</w:t>
            </w:r>
          </w:p>
        </w:tc>
        <w:tc>
          <w:tcPr>
            <w:tcW w:w="16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5190800114</w:t>
            </w:r>
          </w:p>
        </w:tc>
        <w:tc>
          <w:tcPr>
            <w:tcW w:w="6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Государственное областное бюджетное учреждение здравоохранения "Мурманская областная клиническая больница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П.А.Баяндина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12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2 828 831,25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5190800114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Государственное областное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учреждение здравоохранения "Мурманская областная клиническая больница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П.А.Баяндина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F7AF7">
        <w:trPr>
          <w:trHeight w:val="12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3 044 000,00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5190913407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Государственное областное бюджетное учреждение "Многофункциональный центр предоставления государственных и муниципальных услуг Мурманской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области"</w:t>
            </w:r>
          </w:p>
        </w:tc>
      </w:tr>
      <w:tr w:rsidR="00DF7AF7">
        <w:trPr>
          <w:trHeight w:val="12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5190913407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областное бюджетное учреждение "Многофункциональный центр предоставления государственных и муниципальных услуг Мурманской области"</w:t>
            </w:r>
          </w:p>
        </w:tc>
      </w:tr>
      <w:tr w:rsidR="00DF7AF7">
        <w:trPr>
          <w:trHeight w:val="12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187 685 390,08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5105030121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АВТОНОМНОЕ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 ОБРАЗОВАНИЯ "ДЕТСКО-ЮНОШЕСКАЯ СПОРТИВНАЯ ШКОЛА" КОЛЬСКОГО ОКРУГА МУРМАНСКОЙ ОБЛАСТИ</w:t>
            </w:r>
          </w:p>
        </w:tc>
      </w:tr>
      <w:tr w:rsidR="00DF7AF7">
        <w:trPr>
          <w:trHeight w:val="15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98 307 953,53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5105030330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КОЛЬСКОГО ОКРУГА МУРМАНСКОЙ ОБЛАСТИ "МЕЖДУРЕЧЕНСКАЯ СРЕДНЯЯ ОБЩЕОБРАЗОВАТЕЛ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ЬНАЯ ШКОЛА"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5 681 348,00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5111002669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132 314 226,99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5190918123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ММБУ "УДХ"</w:t>
            </w:r>
          </w:p>
        </w:tc>
      </w:tr>
      <w:tr w:rsidR="00DF7AF7">
        <w:trPr>
          <w:trHeight w:val="9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193 888 613,78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5110004208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УЧРЕЖДЕНИЕ "АДМИНИСТРАТИВНО-ХОЗЯЙСТВЕННОЕ И ТРАНСПОРТНОЕ ОБСЛУЖИВАНИЕ"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11 741 013,09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5190918123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ММБУ "УДХ"</w:t>
            </w:r>
          </w:p>
        </w:tc>
      </w:tr>
      <w:tr w:rsidR="00DF7AF7">
        <w:trPr>
          <w:trHeight w:val="6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35 757 514,18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5110002271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УЧРЕЖДЕНИЕ "СПЕЦИАЛИЗИРОВАННАЯ ПОХОРОННАЯ СЛУЖБА"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1 793 583,06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5190918123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ММБУ "УДХ"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2 824 641,18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5190920235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ММБУ "Экосистема"</w:t>
            </w:r>
          </w:p>
        </w:tc>
      </w:tr>
      <w:tr w:rsidR="00DF7AF7">
        <w:trPr>
          <w:trHeight w:val="9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4 675 000,00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5110004208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УЧРЕЖДЕНИЕ "АДМИНИСТРАТИВНО-ХОЗЯЙСТВЕННОЕ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ТРАНСПОРТНОЕ ОБСЛУЖИВАНИЕ"</w:t>
            </w:r>
          </w:p>
        </w:tc>
      </w:tr>
      <w:tr w:rsidR="00DF7AF7">
        <w:trPr>
          <w:trHeight w:val="9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30 775 630,51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5110120652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УЧРЕЖДЕНИЕ КУЛЬТУРЫ ДВОРЕЦ КУЛЬТУРЫ "СУДОРЕМОНТНИК" ГОРОДА МУРМАНСКА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20 327 002,14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5190010525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МАУ ГСЦ "Авангард"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5190104727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МАУ СШОР № 4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21 779 674,58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5190023940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МАУ ДО СШ № 6</w:t>
            </w:r>
          </w:p>
        </w:tc>
      </w:tr>
      <w:tr w:rsidR="00DF7AF7">
        <w:trPr>
          <w:trHeight w:val="6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209 913 334,95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5108900623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УЧРЕЖДЕНИЕ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 УЧЕБНО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-СПОРТИВНЫЙ ЦЕНТР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1 084 651,80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5109000294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ДО ДЮСШ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3 179 404,70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5109003658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"РЭС"</w:t>
            </w:r>
          </w:p>
        </w:tc>
      </w:tr>
      <w:tr w:rsidR="00DF7AF7">
        <w:trPr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994 123 787,14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hd w:val="clear" w:color="auto" w:fill="FFFFFF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4.4. Сведения о государственном (муниципальном) долге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консолидированного бюджета (ф.0503372).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государственного долга Мурманской области на 1 января 2026 года составил 76,5 млрд рублей (или 49 % от общего объема доходов бюджета Мурманской области без учета безвозмездных поступлений с учетом возможного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превышения), за год увеличился на 24,0 млрд рублей, или на 46 %,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основном за счет коммерческих кредитов, привлеченных для обеспечения исполнения областного бюджета в части принятых расходных обязательств, финансирования дефицита областного бюджета и пог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ашения долговых обязательств.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5. Прочие вопросы деятельности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субъекта бюджетной отчетности.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Годовой отчет об исполнении консолидированного бюджета Мурманской области и бюджета территориального государственного внебюджетного фонда за 2025 год сос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тавлен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10 № 191н (далее – Инструкция 191н), с учетом особенностей, предусмотренных совместными письмами Министерства финансов Российской Федерации и Федеральным казначейством от 23.01.2026 № 02-07-08/4301, № 07-04-05/02-1418 «О дополнительных критериях по раскрыт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ию информации при составлении и представлении годовой бюджетной отчетности, годовой консолидированной бухгалтерской отчетности государственных (муниципальных) бюджетных и автономных учреждений финансовыми органами субъектов Российской Федерации и органами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управления государственными внебюджетными фондами за 2025 год.</w:t>
      </w:r>
    </w:p>
    <w:p w:rsidR="00DF7AF7" w:rsidRDefault="002E054F">
      <w:pPr>
        <w:shd w:val="clear" w:color="auto" w:fill="FFFFFF"/>
        <w:ind w:firstLine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shd w:val="clear" w:color="auto" w:fill="FFFFFF"/>
        <w:ind w:right="2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right="2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Пояснения к протоколам </w:t>
      </w:r>
    </w:p>
    <w:p w:rsidR="00DF7AF7" w:rsidRDefault="002E054F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ф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орматно-логических,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внутридокументных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междокумантных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контролей</w:t>
      </w:r>
    </w:p>
    <w:p w:rsidR="00DF7AF7" w:rsidRDefault="002E054F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годовой отчетности за 2025 год</w:t>
      </w:r>
    </w:p>
    <w:p w:rsidR="00DF7AF7" w:rsidRDefault="002E054F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DF7AF7" w:rsidRDefault="002E054F">
      <w:pPr>
        <w:numPr>
          <w:ilvl w:val="0"/>
          <w:numId w:val="1"/>
        </w:numPr>
        <w:shd w:val="clear" w:color="auto" w:fill="FFFFFF"/>
        <w:ind w:left="0" w:right="20"/>
        <w:jc w:val="both"/>
        <w:rPr>
          <w:rFonts w:ascii="Calibri" w:eastAsia="Calibri" w:hAnsi="Calibri" w:cs="Calibri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5">
        <w:r>
          <w:rPr>
            <w:rStyle w:val="a4"/>
            <w:rFonts w:ascii="Calibri" w:eastAsia="Calibri" w:hAnsi="Calibri" w:cs="Calibri"/>
            <w:b/>
            <w:color w:val="000000"/>
            <w:sz w:val="28"/>
            <w:szCs w:val="28"/>
            <w:u w:val="none"/>
          </w:rPr>
          <w:t xml:space="preserve">(ф. 0503320) </w:t>
        </w:r>
      </w:hyperlink>
    </w:p>
    <w:p w:rsidR="00DF7AF7" w:rsidRDefault="002E054F">
      <w:pPr>
        <w:shd w:val="clear" w:color="auto" w:fill="FFFFFF"/>
        <w:ind w:right="2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ind w:hanging="14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Остаток по счету 1 207 00 000 в ф. 0503372 не соответствует идентичному показателю в балансе</w:t>
      </w:r>
    </w:p>
    <w:p w:rsidR="00DF7AF7" w:rsidRDefault="002E054F">
      <w:pPr>
        <w:ind w:hanging="140"/>
        <w:jc w:val="center"/>
        <w:rPr>
          <w:color w:val="000000"/>
        </w:rPr>
      </w:pPr>
      <w:r>
        <w:rPr>
          <w:rFonts w:ascii="Calibri" w:eastAsia="Calibri" w:hAnsi="Calibri" w:cs="Calibri"/>
          <w:i/>
          <w:color w:val="000000"/>
        </w:rPr>
        <w:t> </w:t>
      </w:r>
    </w:p>
    <w:tbl>
      <w:tblPr>
        <w:tblW w:w="970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7018"/>
      </w:tblGrid>
      <w:tr w:rsidR="00DF7AF7">
        <w:trPr>
          <w:trHeight w:val="402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отклонений</w:t>
            </w:r>
          </w:p>
        </w:tc>
        <w:tc>
          <w:tcPr>
            <w:tcW w:w="7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Пояснение</w:t>
            </w:r>
          </w:p>
        </w:tc>
      </w:tr>
      <w:tr w:rsidR="00DF7AF7">
        <w:trPr>
          <w:trHeight w:val="44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DF7AF7" w:rsidRDefault="002E054F">
            <w:pPr>
              <w:shd w:val="clear" w:color="auto" w:fill="FFFFFF"/>
              <w:ind w:left="1160" w:hanging="11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34 820 924,79</w:t>
            </w:r>
          </w:p>
          <w:p w:rsidR="00DF7AF7" w:rsidRDefault="002E054F">
            <w:pPr>
              <w:shd w:val="clear" w:color="auto" w:fill="FFFFFF"/>
              <w:ind w:left="1160" w:hanging="11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(на 01.01.2025 года)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34 819 424,79 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 01.01.2026 года)</w:t>
            </w:r>
          </w:p>
        </w:tc>
        <w:tc>
          <w:tcPr>
            <w:tcW w:w="7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ind w:firstLine="32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Балансе (ф. 0503320) отражены долговые требования по необменным операциям счет 1 207 44 000 «Расчеты по иным долговым требованиям (займам (ссудам)».</w:t>
            </w:r>
          </w:p>
          <w:p w:rsidR="00DF7AF7" w:rsidRDefault="002E054F">
            <w:pPr>
              <w:shd w:val="clear" w:color="auto" w:fill="FFFFFF"/>
              <w:ind w:firstLine="3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с </w:t>
            </w:r>
            <w:hyperlink r:id="rId6">
              <w:r>
                <w:rPr>
                  <w:rStyle w:val="a4"/>
                  <w:rFonts w:ascii="Calibri" w:eastAsia="Calibri" w:hAnsi="Calibri" w:cs="Calibri"/>
                  <w:color w:val="000000"/>
                  <w:u w:val="none"/>
                </w:rPr>
                <w:t>п. 169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Инструкции № 191н в ф. 0503172  (0503372) в графах 1, 2, 3 </w:t>
            </w:r>
            <w:hyperlink r:id="rId7">
              <w:r>
                <w:rPr>
                  <w:rStyle w:val="a4"/>
                  <w:rFonts w:ascii="Calibri" w:eastAsia="Calibri" w:hAnsi="Calibri" w:cs="Calibri"/>
                  <w:color w:val="000000"/>
                  <w:u w:val="none"/>
                </w:rPr>
                <w:t>Разделов 1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8">
              <w:r>
                <w:rPr>
                  <w:rStyle w:val="a4"/>
                  <w:rFonts w:ascii="Calibri" w:eastAsia="Calibri" w:hAnsi="Calibri" w:cs="Calibri"/>
                  <w:color w:val="000000"/>
                  <w:u w:val="none"/>
                </w:rPr>
                <w:t>2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Приложения указываются номера соответствующих аналитических счетов счета 020700000 «Расчеты по кредитам, займам (ссудам)" (за исключением счета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020744000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«Расчеты по иным долговым требованиям (займам (ссудам)».</w:t>
            </w:r>
          </w:p>
        </w:tc>
      </w:tr>
    </w:tbl>
    <w:p w:rsidR="00DF7AF7" w:rsidRDefault="002E054F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DF7AF7" w:rsidRDefault="002E054F">
      <w:pPr>
        <w:numPr>
          <w:ilvl w:val="0"/>
          <w:numId w:val="2"/>
        </w:numPr>
        <w:ind w:left="0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Финансовый результат по счетам баланса не соответствует идентичному показателю в ф. 0503321– допустимо на сумму заключительных оборотов по счету 0 304 06 000</w:t>
      </w:r>
    </w:p>
    <w:p w:rsidR="00DF7AF7" w:rsidRDefault="002E054F">
      <w:pPr>
        <w:numPr>
          <w:ilvl w:val="0"/>
          <w:numId w:val="2"/>
        </w:numPr>
        <w:ind w:left="0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Calibri" w:eastAsia="Calibri" w:hAnsi="Calibri" w:cs="Calibri"/>
          <w:i/>
          <w:color w:val="000000"/>
        </w:rPr>
        <w:t> </w:t>
      </w:r>
    </w:p>
    <w:tbl>
      <w:tblPr>
        <w:tblW w:w="928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6447"/>
      </w:tblGrid>
      <w:tr w:rsidR="00DF7AF7">
        <w:trPr>
          <w:trHeight w:val="445"/>
          <w:jc w:val="center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35 045 613,31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38 346 268,94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30 149 698,72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Суммы заключительных оборотов по счету 0 304 06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«Расчеты с прочими кредиторами»</w:t>
            </w:r>
          </w:p>
        </w:tc>
      </w:tr>
    </w:tbl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i/>
          <w:color w:val="000000"/>
        </w:rPr>
        <w:t> </w:t>
      </w:r>
    </w:p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i/>
          <w:color w:val="000000"/>
        </w:rPr>
        <w:t> </w:t>
      </w:r>
    </w:p>
    <w:p w:rsidR="00DF7AF7" w:rsidRDefault="002E054F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Отчет о финансовых результатах деятельности </w:t>
      </w:r>
      <w:hyperlink r:id="rId9">
        <w:r>
          <w:rPr>
            <w:rStyle w:val="a4"/>
            <w:rFonts w:ascii="Calibri" w:eastAsia="Calibri" w:hAnsi="Calibri" w:cs="Calibri"/>
            <w:b/>
            <w:color w:val="000000"/>
            <w:sz w:val="26"/>
            <w:szCs w:val="26"/>
            <w:u w:val="none"/>
          </w:rPr>
          <w:t>(ф.0503321)</w:t>
        </w:r>
      </w:hyperlink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 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Отрицательные показатели требуют пояснений:</w:t>
      </w:r>
    </w:p>
    <w:p w:rsidR="00DF7AF7" w:rsidRDefault="002E054F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tbl>
      <w:tblPr>
        <w:tblW w:w="10080" w:type="dxa"/>
        <w:tblInd w:w="-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4265"/>
        <w:gridCol w:w="3546"/>
      </w:tblGrid>
      <w:tr w:rsidR="00DF7AF7">
        <w:trPr>
          <w:trHeight w:val="402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отклонений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показателя:</w:t>
            </w:r>
          </w:p>
        </w:tc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Пояснение</w:t>
            </w: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- 579 027 838,61</w:t>
            </w:r>
          </w:p>
        </w:tc>
        <w:tc>
          <w:tcPr>
            <w:tcW w:w="42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Чрезвычайные доходы от операций с активами 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по КОСГУ: 170 -  доходы от оценки активов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обязательств 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ind w:left="140" w:firstLine="14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ind w:left="140" w:firstLine="14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Списание безнадежной к взысканию дебиторской задолженности по договорам аренды земельных участков до разграничения собственности.</w:t>
            </w:r>
          </w:p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кадастровой стоимости земельных участков, ранее принятых к бюджетному учету</w:t>
            </w: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572 633 508,95</w:t>
            </w:r>
          </w:p>
        </w:tc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- 7 582 71 893,03</w:t>
            </w:r>
          </w:p>
        </w:tc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- 1 005 083 071,28</w:t>
            </w:r>
          </w:p>
        </w:tc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- 327 553 639,11</w:t>
            </w:r>
          </w:p>
        </w:tc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- 1 509 346 920,00</w:t>
            </w:r>
          </w:p>
        </w:tc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-207 934 617,42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176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-201 540 287,76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173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-571 872 347,22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176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-5 513 840,55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173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-7 289 808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140,31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172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-291 310 949,47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176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-821 332 165,15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172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-140 416 703,42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173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-4 675 963,14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176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-328 801 896,41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172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-3 461 921,38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173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-797 538 676,10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172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-56 952 019,74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173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-648 454 624,96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176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-5 724 768,29</w:t>
            </w:r>
          </w:p>
        </w:tc>
        <w:tc>
          <w:tcPr>
            <w:tcW w:w="4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 КОСГУ: 176</w:t>
            </w:r>
          </w:p>
        </w:tc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DF7AF7">
        <w:trPr>
          <w:trHeight w:val="445"/>
        </w:trPr>
        <w:tc>
          <w:tcPr>
            <w:tcW w:w="10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tbl>
            <w:tblPr>
              <w:tblW w:w="9825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79"/>
              <w:gridCol w:w="3666"/>
              <w:gridCol w:w="3280"/>
            </w:tblGrid>
            <w:tr w:rsidR="00DF7AF7">
              <w:trPr>
                <w:trHeight w:val="445"/>
                <w:jc w:val="center"/>
              </w:trPr>
              <w:tc>
                <w:tcPr>
                  <w:tcW w:w="28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7AF7" w:rsidRDefault="002E054F">
                  <w:pPr>
                    <w:shd w:val="clear" w:color="auto" w:fill="FFFFFF"/>
                    <w:jc w:val="both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DF7AF7" w:rsidRDefault="002E054F">
                  <w:pPr>
                    <w:shd w:val="clear" w:color="auto" w:fill="FFFFFF"/>
                    <w:ind w:hanging="80"/>
                    <w:jc w:val="right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- 691 524,64</w:t>
                  </w:r>
                </w:p>
              </w:tc>
              <w:tc>
                <w:tcPr>
                  <w:tcW w:w="36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F7AF7" w:rsidRDefault="002E054F">
                  <w:pPr>
                    <w:shd w:val="clear" w:color="auto" w:fill="FFFFFF"/>
                    <w:ind w:left="140" w:firstLine="140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DF7AF7" w:rsidRDefault="002E054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Поступления капитального характера от иных резидентов (за исключением сектора государственного управления 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организаций государственного сектора)</w:t>
                  </w:r>
                </w:p>
                <w:p w:rsidR="00DF7AF7" w:rsidRDefault="002E054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Код по КОСГУ 165</w:t>
                  </w:r>
                </w:p>
              </w:tc>
              <w:tc>
                <w:tcPr>
                  <w:tcW w:w="3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7AF7" w:rsidRDefault="002E054F">
                  <w:pPr>
                    <w:shd w:val="clear" w:color="auto" w:fill="FFFFFF"/>
                    <w:jc w:val="both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DF7AF7" w:rsidRDefault="002E054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Начисление возврата неиспользованного остатка прошлых лет</w:t>
                  </w:r>
                </w:p>
              </w:tc>
            </w:tr>
            <w:tr w:rsidR="00DF7AF7">
              <w:trPr>
                <w:trHeight w:val="445"/>
                <w:jc w:val="center"/>
              </w:trPr>
              <w:tc>
                <w:tcPr>
                  <w:tcW w:w="28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7AF7" w:rsidRDefault="002E054F">
                  <w:pPr>
                    <w:shd w:val="clear" w:color="auto" w:fill="FFFFFF"/>
                    <w:jc w:val="right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-9 261,40</w:t>
                  </w:r>
                </w:p>
              </w:tc>
              <w:tc>
                <w:tcPr>
                  <w:tcW w:w="36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F7AF7" w:rsidRDefault="002E054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Иные доходы от собственности</w:t>
                  </w:r>
                </w:p>
                <w:p w:rsidR="00DF7AF7" w:rsidRDefault="002E054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Код по КОСГУ 129</w:t>
                  </w:r>
                </w:p>
              </w:tc>
              <w:tc>
                <w:tcPr>
                  <w:tcW w:w="3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7AF7" w:rsidRDefault="002E054F">
                  <w:pPr>
                    <w:shd w:val="clear" w:color="auto" w:fill="FFFFFF"/>
                    <w:ind w:right="880"/>
                    <w:jc w:val="both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Корректировка дебиторской задолженности по счету 205.29 (списание задолженности 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связи с ошибочным начислением после расторжения договора найма жилого помещения).</w:t>
                  </w:r>
                </w:p>
                <w:p w:rsidR="00DF7AF7" w:rsidRDefault="002E054F">
                  <w:pPr>
                    <w:shd w:val="clear" w:color="auto" w:fill="FFFFFF"/>
                    <w:jc w:val="both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Междокументный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контроль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DF7AF7" w:rsidRDefault="002E054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Сумма начисленных расходов в ф.0503321 по гр.4 не соответствует сумме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неденежных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расчетов в ф.0503125 по счету 140120251 – требует пояснения</w:t>
            </w:r>
          </w:p>
          <w:p w:rsidR="00DF7AF7" w:rsidRDefault="002E054F">
            <w:pPr>
              <w:shd w:val="clear" w:color="auto" w:fill="FFFFFF"/>
              <w:ind w:firstLine="74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16 271 437,56 рублей - Отражена передача объектов нефинансовых активов другим бюджетам субъекта РФ по КВР 807 «Безвозмездные межбюджетные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неденежные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передачи бюджетным (автономным) учреждениям» КОСГУ 251</w:t>
            </w:r>
          </w:p>
        </w:tc>
      </w:tr>
    </w:tbl>
    <w:p w:rsidR="00DF7AF7" w:rsidRDefault="002E054F">
      <w:pPr>
        <w:shd w:val="clear" w:color="auto" w:fill="FFFFFF"/>
        <w:ind w:left="500"/>
        <w:jc w:val="both"/>
        <w:rPr>
          <w:color w:val="000000"/>
          <w:shd w:val="clear" w:color="auto" w:fill="FFFFFF"/>
        </w:rPr>
      </w:pPr>
      <w:r>
        <w:rPr>
          <w:rFonts w:ascii="Courier New" w:eastAsia="Courier New" w:hAnsi="Courier New" w:cs="Courier New"/>
          <w:color w:val="000000"/>
        </w:rPr>
        <w:lastRenderedPageBreak/>
        <w:t> </w:t>
      </w:r>
    </w:p>
    <w:p w:rsidR="00DF7AF7" w:rsidRDefault="002E054F">
      <w:pPr>
        <w:numPr>
          <w:ilvl w:val="0"/>
          <w:numId w:val="5"/>
        </w:numPr>
        <w:ind w:left="0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Финансовый результат по счетам баланса не соответ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ствует идентичному показателю в ф. 0503321– допустимо на сумму заключительных оборотов по счету 0 304 06 000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Финансовый результат по счетам баланса не соответствует идентичному показателю в ф. 0503321</w:t>
      </w:r>
    </w:p>
    <w:p w:rsidR="00DF7AF7" w:rsidRDefault="002E054F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tbl>
      <w:tblPr>
        <w:tblW w:w="1021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523"/>
      </w:tblGrid>
      <w:tr w:rsidR="00DF7AF7">
        <w:trPr>
          <w:trHeight w:val="445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35 045 613,31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38 346 268,94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30 149 698,72</w:t>
            </w:r>
          </w:p>
        </w:tc>
        <w:tc>
          <w:tcPr>
            <w:tcW w:w="8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по счетам баланса не соответствует идентичному показателю в ф. 0503321– допустимо на сумму заключительных оборотов по счету 0 304 06 000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F7AF7" w:rsidRDefault="002E054F">
      <w:pPr>
        <w:shd w:val="clear" w:color="auto" w:fill="FFFFFF"/>
        <w:ind w:left="500"/>
        <w:jc w:val="both"/>
        <w:rPr>
          <w:color w:val="000000"/>
          <w:shd w:val="clear" w:color="auto" w:fill="FFFFFF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DF7AF7" w:rsidRDefault="002E054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Справки по заключению счетов бюджетного учета отчетного финансового года (ф.0503110)</w:t>
      </w:r>
    </w:p>
    <w:p w:rsidR="00DF7AF7" w:rsidRDefault="002E054F">
      <w:pPr>
        <w:shd w:val="clear" w:color="auto" w:fill="FFFFFF"/>
        <w:ind w:left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left="56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Форматно-логический контроль</w:t>
      </w:r>
    </w:p>
    <w:p w:rsidR="00DF7AF7" w:rsidRDefault="002E054F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Отражение КОСГУ 136 требуют пояснений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Начислена дебиторская задолженность по расходам, в отношении которой получателем бюджетных средств осуществляется мероприятия по восстановлению расходов бюджетов (возврат в бюджет ранее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произведенных расходов).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Courier New" w:eastAsia="Courier New" w:hAnsi="Courier New" w:cs="Courier New"/>
          <w:color w:val="000000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Имеются отклонения по передачам НФА, ФА, ФО, требующие пояснений</w:t>
      </w:r>
    </w:p>
    <w:p w:rsidR="00DF7AF7" w:rsidRDefault="002E054F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- 15 096 042,56 рублей – безвозмездные межбюджетные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передачи бюджетным (автономным) другим субъектам Российской Федерации.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numPr>
          <w:ilvl w:val="0"/>
          <w:numId w:val="7"/>
        </w:numPr>
        <w:ind w:left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Сведений о движении нефинансовых активов консолидируемого бюджета (ф. 0503368)</w:t>
      </w:r>
    </w:p>
    <w:p w:rsidR="00DF7AF7" w:rsidRDefault="002E054F">
      <w:pPr>
        <w:shd w:val="clear" w:color="auto" w:fill="FFFFFF"/>
        <w:ind w:left="5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 </w:t>
      </w:r>
    </w:p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Наличие показателей по строке «Вложения в объекты государственной (муниципальной) казны» требует пояснений</w:t>
      </w:r>
    </w:p>
    <w:p w:rsidR="00DF7AF7" w:rsidRDefault="002E054F">
      <w:pPr>
        <w:shd w:val="clear" w:color="auto" w:fill="FFFFFF"/>
        <w:ind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 </w:t>
      </w:r>
    </w:p>
    <w:tbl>
      <w:tblPr>
        <w:tblW w:w="10200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3388"/>
        <w:gridCol w:w="4254"/>
      </w:tblGrid>
      <w:tr w:rsidR="00DF7AF7">
        <w:trPr>
          <w:trHeight w:val="580"/>
          <w:jc w:val="center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ind w:left="700" w:hanging="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Сумма 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ind w:firstLine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ind w:firstLine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ind w:firstLine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F7AF7" w:rsidRDefault="002E054F">
            <w:pPr>
              <w:shd w:val="clear" w:color="auto" w:fill="FFFFFF"/>
              <w:ind w:firstLine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Пояснения</w:t>
            </w:r>
          </w:p>
        </w:tc>
      </w:tr>
      <w:tr w:rsidR="00DF7AF7">
        <w:trPr>
          <w:trHeight w:val="51"/>
          <w:jc w:val="center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82 184 686,51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ind w:firstLine="10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3, 4, 6 «На начало года»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ind w:firstLine="10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Вложение в приобретение квартир, благоустройство муниципальных объектов (сквер, парк, набережная) счет 16050000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"Вложения в нефинансовые активы государственной (муниципальной) казны"</w:t>
            </w:r>
          </w:p>
          <w:p w:rsidR="00DF7AF7" w:rsidRDefault="002E054F">
            <w:pPr>
              <w:shd w:val="clear" w:color="auto" w:fill="FFFFFF"/>
              <w:ind w:firstLine="100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7AF7">
        <w:trPr>
          <w:trHeight w:val="51"/>
          <w:jc w:val="center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876 517 340,93 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8,10,13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«Поступление (увеличение)»</w:t>
            </w: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6"/>
                <w:shd w:val="clear" w:color="auto" w:fill="FFFFFF"/>
              </w:rPr>
            </w:pPr>
          </w:p>
        </w:tc>
      </w:tr>
      <w:tr w:rsidR="00DF7AF7">
        <w:trPr>
          <w:trHeight w:val="51"/>
          <w:jc w:val="center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850 724 449,16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15,17,20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«Поступление (увеличение)</w:t>
            </w: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6"/>
                <w:shd w:val="clear" w:color="auto" w:fill="FFFFFF"/>
              </w:rPr>
            </w:pPr>
          </w:p>
        </w:tc>
      </w:tr>
      <w:tr w:rsidR="00DF7AF7">
        <w:trPr>
          <w:trHeight w:val="51"/>
          <w:jc w:val="center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107 977 578,28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«Поступление (увеличение)» - Субъект РФ</w:t>
            </w: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DF7AF7">
            <w:pPr>
              <w:shd w:val="clear" w:color="auto" w:fill="FFFFFF"/>
              <w:rPr>
                <w:color w:val="000000"/>
                <w:sz w:val="6"/>
                <w:shd w:val="clear" w:color="auto" w:fill="FFFFFF"/>
              </w:rPr>
            </w:pPr>
          </w:p>
        </w:tc>
      </w:tr>
    </w:tbl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DF7AF7" w:rsidRDefault="002E054F">
      <w:pPr>
        <w:shd w:val="clear" w:color="auto" w:fill="FFFFFF"/>
        <w:ind w:firstLine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numPr>
          <w:ilvl w:val="0"/>
          <w:numId w:val="8"/>
        </w:numPr>
        <w:spacing w:line="276" w:lineRule="auto"/>
        <w:ind w:left="78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Сведений по дебиторской и кредиторской задолженности (ф. 0503369)</w:t>
      </w:r>
    </w:p>
    <w:p w:rsidR="00DF7AF7" w:rsidRDefault="002E054F">
      <w:pPr>
        <w:spacing w:line="276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Форматно-логический контроль</w:t>
      </w:r>
    </w:p>
    <w:p w:rsidR="00DF7AF7" w:rsidRDefault="002E054F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Недопустимое соотношение кода вида доходов и кода счета бюджетного (бухгалтерского) учета</w:t>
      </w:r>
    </w:p>
    <w:tbl>
      <w:tblPr>
        <w:tblW w:w="1006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5392"/>
      </w:tblGrid>
      <w:tr w:rsidR="00DF7AF7">
        <w:trPr>
          <w:trHeight w:val="445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доходов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Пояснение</w:t>
            </w:r>
          </w:p>
        </w:tc>
      </w:tr>
      <w:tr w:rsidR="00DF7AF7">
        <w:trPr>
          <w:trHeight w:val="445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20225016020000150  1 20551001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20225143020000150  1 20551001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20225203020000150  1 20551001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20225498020000150  1 20551001</w:t>
            </w:r>
          </w:p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20225535020000150  1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20561001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Отражены межбюджетные трансферты по соглашениям на 2026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Минфина России от 10.06.2025 № 70н «Об утверждении кодов (перечней кодов) бюджетной классификации Российской Федерации на 2026 год (на 2026 год и на плановый период 2027 и 2028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ов)»</w:t>
            </w:r>
          </w:p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F7AF7" w:rsidRDefault="002E054F">
      <w:pPr>
        <w:spacing w:line="276" w:lineRule="auto"/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F7AF7" w:rsidRDefault="002E054F">
      <w:pPr>
        <w:spacing w:line="276" w:lineRule="auto"/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Счет 20661 отсутствует в приказах Минфина России 157н, 162н.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10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приложением № 2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«Порядок включения кода бюджетной классификации Российской Федерации при формировании номера счета бюджетного учета» к Инструкции по применению Плана счетов бюджетного учета, утвержденной приказом Министерства финансов Российской Федерации «Об утверждении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Плана счетов бюджетного учета и Инструкции по его применению» от 6 декабря 2010 г. № 162н счет 1 206 61 предусмотрен.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ТФОМС по Мурманской области на счете 1 206 61 «Расчеты по авансам по авансовым платежам (перечислениям) по обязательным видам страхования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отражает авансовые выплаты страховым компаниям и непосредственно учреждениям, оказывающие медицинские услуги застрахованным лицам за счет средств ОМС.</w:t>
      </w:r>
    </w:p>
    <w:p w:rsidR="00DF7AF7" w:rsidRDefault="002E054F">
      <w:pPr>
        <w:shd w:val="clear" w:color="auto" w:fill="FFFFFF"/>
        <w:spacing w:line="276" w:lineRule="auto"/>
        <w:ind w:left="5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 </w:t>
      </w:r>
    </w:p>
    <w:p w:rsidR="00DF7AF7" w:rsidRDefault="002E054F">
      <w:pPr>
        <w:shd w:val="clear" w:color="auto" w:fill="FFFFFF"/>
        <w:spacing w:line="276" w:lineRule="auto"/>
        <w:jc w:val="center"/>
        <w:rPr>
          <w:color w:val="00000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shd w:val="clear" w:color="auto" w:fill="FFFFFF"/>
        <w:spacing w:line="276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Дебетовый остаток по счетам 303хх, кроме 30314, 30305 требует пояснения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счетам 130302000, 130306000, 130310000, 30311000 по состоянию на 1 января 2026 года отражены расчеты по платежам в бюджет, образованной до 1 января 2023 года;</w:t>
      </w:r>
    </w:p>
    <w:p w:rsidR="00DF7AF7" w:rsidRDefault="002E054F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1 303 12 000 «Расчеты по налогу на имущество» в сумме 57 905,00 переплата налогу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имущество;</w:t>
      </w:r>
    </w:p>
    <w:p w:rsidR="00DF7AF7" w:rsidRDefault="002E054F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1 303 13 000 «Расчеты по земельному налогу» в сумме 74,00 переплата по налогу на землю;</w:t>
      </w:r>
    </w:p>
    <w:p w:rsidR="00DF7AF7" w:rsidRDefault="002E054F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1 303 15 000 «Расчету по единому страховому тарифу» в сумме 240 479,20 переплата по единому страховому тарифу.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Сведения о госуда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рственном (муниципальном) долге, предоставленных бюджетных кредитах </w:t>
      </w:r>
      <w:hyperlink r:id="rId11">
        <w:r>
          <w:rPr>
            <w:rStyle w:val="a4"/>
            <w:rFonts w:ascii="Calibri" w:eastAsia="Calibri" w:hAnsi="Calibri" w:cs="Calibri"/>
            <w:b/>
            <w:color w:val="000000"/>
            <w:sz w:val="28"/>
            <w:szCs w:val="28"/>
            <w:u w:val="none"/>
          </w:rPr>
          <w:t>(ф. 0503372)</w:t>
        </w:r>
      </w:hyperlink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Междокументальный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Остаток по счету 1 207 00 000 в ф. 0503372 не соответствует идентичному показателю в балансе</w:t>
      </w:r>
    </w:p>
    <w:p w:rsidR="00DF7AF7" w:rsidRDefault="002E054F">
      <w:pPr>
        <w:jc w:val="both"/>
        <w:rPr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 </w:t>
      </w:r>
    </w:p>
    <w:tbl>
      <w:tblPr>
        <w:tblW w:w="1006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7520"/>
      </w:tblGrid>
      <w:tr w:rsidR="00DF7AF7">
        <w:trPr>
          <w:trHeight w:val="445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Пояснения</w:t>
            </w:r>
          </w:p>
        </w:tc>
      </w:tr>
      <w:tr w:rsidR="00DF7AF7">
        <w:trPr>
          <w:trHeight w:val="445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34 820 924,79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(на 01.01.2025 года)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34 849 424,79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(на 01.01.2026 года)</w:t>
            </w:r>
          </w:p>
          <w:p w:rsidR="00DF7AF7" w:rsidRDefault="002E054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Отражены долговые требования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необменным операциям счет 1 207 44 000 «Расчеты по иным долговым требованиям (займам (ссудам)».</w:t>
            </w:r>
          </w:p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с </w:t>
            </w:r>
            <w:hyperlink r:id="rId12">
              <w:r>
                <w:rPr>
                  <w:rStyle w:val="a4"/>
                  <w:rFonts w:ascii="Calibri" w:eastAsia="Calibri" w:hAnsi="Calibri" w:cs="Calibri"/>
                  <w:color w:val="000000"/>
                  <w:u w:val="none"/>
                </w:rPr>
                <w:t>п. 169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Инструкции № 191н в</w:t>
            </w:r>
          </w:p>
          <w:p w:rsidR="00DF7AF7" w:rsidRDefault="002E054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ф. 0503172  (0503372) в графах 1, 2, 3 </w:t>
            </w:r>
            <w:hyperlink r:id="rId13">
              <w:r>
                <w:rPr>
                  <w:rStyle w:val="a4"/>
                  <w:rFonts w:ascii="Calibri" w:eastAsia="Calibri" w:hAnsi="Calibri" w:cs="Calibri"/>
                  <w:color w:val="000000"/>
                  <w:u w:val="none"/>
                </w:rPr>
                <w:t>Разделов 1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4">
              <w:r>
                <w:rPr>
                  <w:rStyle w:val="a4"/>
                  <w:rFonts w:ascii="Calibri" w:eastAsia="Calibri" w:hAnsi="Calibri" w:cs="Calibri"/>
                  <w:color w:val="000000"/>
                  <w:u w:val="none"/>
                </w:rPr>
                <w:t>2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Приложения указываются номера соответствующих аналитических счетов счета 020700000 «Расчеты по кредитам, займам (ссудам)" (за исключением счета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020744000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«Расчеты по иным долговым требованиям (займам (ссудам)».</w:t>
            </w:r>
          </w:p>
        </w:tc>
      </w:tr>
    </w:tbl>
    <w:p w:rsidR="00DF7AF7" w:rsidRDefault="002E054F">
      <w:pPr>
        <w:spacing w:line="276" w:lineRule="auto"/>
        <w:ind w:left="28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numPr>
          <w:ilvl w:val="0"/>
          <w:numId w:val="9"/>
        </w:numPr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вложениях в объекты недвижимого имущества, объектах незавершенного строительства (ф. 0503190)</w:t>
      </w:r>
    </w:p>
    <w:p w:rsidR="00DF7AF7" w:rsidRDefault="002E054F">
      <w:pPr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Междокументальный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F7AF7" w:rsidRDefault="002E054F">
      <w:pPr>
        <w:numPr>
          <w:ilvl w:val="1"/>
          <w:numId w:val="10"/>
        </w:numPr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25 000 000,00 рублей – сумма фактических расходов (в связке ИНН гр.2, учетный номер гр.5, 6) на начало года не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соответствует показателю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предыдущего годового отчета (в связке ИНН гр.2, учетный номер гр.5, 6) – требует пояснения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 - быстровозводимый спортивно-оздоровительный комплекс с плавательным бассейном и тренажерным залом на Кольском проспекте в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Мурманске.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отражено в сведениях ф. 0503373 по сроке 120 «Вложения в нефинансовые активы (010600000), всего».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numPr>
          <w:ilvl w:val="0"/>
          <w:numId w:val="11"/>
        </w:numPr>
        <w:ind w:left="0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1 666 250,00 рублей – сумма фактических расходов (в связке ИНН гр.2, учетный номер гр.5, 6) на начало года не соответствует показателю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предыдущего годового отчета (в связке ИНН гр.2, учетный номер гр.5, 6) – требует пояснения.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код статуса объекта на начало года не соответствует коду статуса объекта предыдущего годового отчета (в связке ИНН гр.2, учетный номер гр.5, 6) – требует пояснения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 - парк-сквер в с. Ловозеро по ул. Пионерской.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 был ошибочно отражен на счете 1 106.51 и отражен в бюджетной отчетности за 2024 год. Объект не подлежит государственной регистрации и перенесен на счет 1 106.52 через счет 304 86. В соответствии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пунктом 111.2 Инструкции № 162н отражение учреждением исправительных бухгалтерских записей по ошибкам прошлых лет, не корректирующих показатели на счетах финансового результата, осуществляется по соответствующему аналитическому счету: 030486000 "Иные расч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еты года, предшествующего отчетному, выявленные в отчетном году"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numPr>
          <w:ilvl w:val="0"/>
          <w:numId w:val="12"/>
        </w:numPr>
        <w:ind w:left="0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114 588 066,44 рублей - сумма фактических расходов (в связке ИНН гр.2, учетный номер гр.5, 6) на начало года не соответствует показателю предыдущего годового отчета (в связке ИНН гр.2, учет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ный номер гр.5, 6) – требует пояснения.</w:t>
      </w:r>
    </w:p>
    <w:p w:rsidR="00DF7AF7" w:rsidRDefault="002E054F">
      <w:pPr>
        <w:ind w:firstLine="7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Код статуса объекта на начало года не соответствует коду статуса объекта предыдущего годового отчета (в связке ИНН гр.2, учетный номер гр.5, 6) – требует пояснения.</w:t>
      </w:r>
    </w:p>
    <w:p w:rsidR="00DF7AF7" w:rsidRDefault="002E054F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 - городское кладбище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г.Оленегорска</w:t>
      </w:r>
      <w:proofErr w:type="spellEnd"/>
    </w:p>
    <w:p w:rsidR="00DF7AF7" w:rsidRDefault="002E054F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графе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«Учетный номер объекта» изменен учетный номер объекта незавершенного строительства в результате изменения подведомственности казенного учреждения в соответствии с письмом Минфина РФ от 27.07.2020 № 02-06-10/65643.</w:t>
      </w:r>
    </w:p>
    <w:p w:rsidR="00DF7AF7" w:rsidRDefault="002E054F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numPr>
          <w:ilvl w:val="0"/>
          <w:numId w:val="13"/>
        </w:numPr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Сведения об изменении остатков валюты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баланса (бюджетная деятельность) (ф 0503373)</w:t>
      </w:r>
    </w:p>
    <w:p w:rsidR="00DF7AF7" w:rsidRDefault="002E054F">
      <w:pPr>
        <w:ind w:left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Внешний контроль</w:t>
      </w:r>
    </w:p>
    <w:p w:rsidR="00DF7AF7" w:rsidRDefault="002E054F">
      <w:pPr>
        <w:ind w:left="72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Отклонения (7=3-4-5-6) требует пояснения</w:t>
      </w:r>
    </w:p>
    <w:p w:rsidR="00DF7AF7" w:rsidRDefault="002E054F">
      <w:pPr>
        <w:ind w:left="72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299 267 317,85 рублей – показатель по строке 240 «Финансовые вложения (020400000), всего» формы 0503373 соответствует показателю строки 480 «Расчеты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учредителем (021006000)» формы 0503773</w:t>
      </w:r>
    </w:p>
    <w:p w:rsidR="00DF7AF7" w:rsidRDefault="002E054F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numPr>
          <w:ilvl w:val="0"/>
          <w:numId w:val="14"/>
        </w:numPr>
        <w:spacing w:line="276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об исполнении консолидированного бюджета субъекта Российской Федерации и бюджета территориального государственного внебюджетного фонда (ф. 0503317)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DF7AF7">
        <w:trPr>
          <w:trHeight w:val="273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spacing w:line="276" w:lineRule="auto"/>
              <w:ind w:firstLine="7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Пояснения плановых показателей по доходам и бюджетной</w:t>
            </w:r>
          </w:p>
          <w:p w:rsidR="00DF7AF7" w:rsidRDefault="002E054F">
            <w:pPr>
              <w:spacing w:line="276" w:lineRule="auto"/>
              <w:ind w:firstLine="7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росписи по расходам.</w:t>
            </w:r>
          </w:p>
        </w:tc>
      </w:tr>
      <w:tr w:rsidR="00DF7AF7">
        <w:trPr>
          <w:trHeight w:val="273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7AF7" w:rsidRDefault="002E054F">
            <w:pPr>
              <w:ind w:firstLine="70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</w:tbl>
    <w:p w:rsidR="00DF7AF7" w:rsidRDefault="002E054F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приказа Министерства финансов РФ от 28.12.2010 № 191н доходы отражены в сумме годовых плановых показателей, утвержденных законом Мурманской области и решениями муниципальных образований Мурманской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о бюджете на 2024 год. Расходы отражены в соответствии с уточненной бюджетной росписью бюджетов. </w:t>
      </w:r>
    </w:p>
    <w:p w:rsidR="00DF7AF7" w:rsidRDefault="002E054F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разделе «ДОХОДЫ»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гр. 4 и гр. 6 отражены неурегулированные межбюджетные трансферты между областным бюджетом и бюджетами городских и муниципальных округов и муниципальных районов в сумме 956 786 554,17 рублей.</w:t>
      </w:r>
    </w:p>
    <w:p w:rsidR="00DF7AF7" w:rsidRDefault="002E054F">
      <w:pPr>
        <w:ind w:left="3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разделе «РАСХОДЫ»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гр. 4 и гр. 6 отражены неурегулирова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 межбюджетные трансферты, передаваемые другим уровням бюджетной системы РФ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бюджетах муниципальных образований межбюджетные трансферты, подлежащие перечислению из областного бюджета в 2024 году, утверждены в меньшем объеме, чем предусмотрено на регио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нальном уровне: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- 489 487 084,29 рублей – неурегулированные межбюджетные трансферты (утверждены областным бюджетом для муниципальных образований, но не учтены в местных бюджетах городских и муниципальных округов и муниципальных районов);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- 33 746 445,09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блей – подлежат распределению в ходе исполнения бюджета.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Отклонение результата исполнения бюджетов сложилось в сумме отклонений расходов бюджетов, утвержденных в соответствии со сводной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бюджетной росписью от расходов, утвержденных решениями муниципальных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бразований о бюджете на 2024 год, и составило 441 850 443,37 рублей.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DF7AF7" w:rsidRDefault="002E054F">
      <w:pPr>
        <w:ind w:firstLine="42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ind w:firstLine="4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Отражение отрицательных показателей кассового исполнения в разделе 2 ф.0503317 - требует пояснений</w:t>
      </w:r>
    </w:p>
    <w:p w:rsidR="00DF7AF7" w:rsidRDefault="002E054F">
      <w:pPr>
        <w:ind w:firstLine="4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-100 000,00 рублей – Сумма поступила 30.12.2025 в бюджет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Кандалакшского муниципального района в счет погашения дебиторской задолженности прошлых лет.</w:t>
      </w:r>
    </w:p>
    <w:p w:rsidR="00DF7AF7" w:rsidRDefault="002E054F">
      <w:pPr>
        <w:ind w:firstLine="4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01.01.2026 муниципальные районы Мурманской области преобразовались в муниципальные округа. Лицевые счеты были закрыты в УФК по Мурманской области. Кандалакшский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округ не смог уточнить эту сумму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межотчетный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период. Уточнение произвели в январе 2026 года.</w:t>
      </w:r>
    </w:p>
    <w:p w:rsidR="00DF7AF7" w:rsidRDefault="002E054F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DF7AF7" w:rsidRDefault="002E054F">
      <w:pPr>
        <w:ind w:firstLine="72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 найдены строки в отчётных формах: ф.0503125, отвечающие условиям соответствия строк записи данного КС.</w:t>
      </w:r>
    </w:p>
    <w:p w:rsidR="00DF7AF7" w:rsidRDefault="002E054F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Несоответств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ие итоговой суммы межбюджетных трансфертов итоговому показателю в справке по консолидируемым расчетам по счетам 130251831(130254831), 120651561(661), 120654561(661) по денежным расчетам - недопустимо</w:t>
      </w:r>
    </w:p>
    <w:p w:rsidR="00DF7AF7" w:rsidRDefault="002E054F">
      <w:pPr>
        <w:ind w:firstLine="72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ind w:firstLine="4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128 000,00 рублей -  Бюджетом муниципального района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речислены межбюджетные трансферты бюджету сельского поселения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РзПр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0503 ВР 540) бюджету сельского поселения денежные средства зачислены на КБД </w:t>
      </w:r>
    </w:p>
    <w:p w:rsidR="00DF7AF7" w:rsidRDefault="002E054F">
      <w:pPr>
        <w:ind w:firstLine="4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 11701010 01 0000 180 «Невыясненные поступления, зачисляемые в федеральный бюджет», в связи с неправильным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казанием ОКТМО.</w:t>
      </w:r>
    </w:p>
    <w:p w:rsidR="00DF7AF7" w:rsidRDefault="002E054F">
      <w:pPr>
        <w:ind w:firstLine="4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Сельскому поселению не возможно было отработать запрос на уточнение платежа, т.к. лицевой счет администрации сельского поселения закрыт УФК по Мурманской области 04.01.2026 года в связи проведением организационных мероприятий по преобразова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муниципальных образований Мурманской области в соответствии с Федеральным законом от 20.03.2025г.№33-ФЗ «Об общих принципах организации местного самоуправления в единой системе публичной власти».</w:t>
      </w:r>
    </w:p>
    <w:p w:rsidR="00DF7AF7" w:rsidRDefault="002E054F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spacing w:line="276" w:lineRule="auto"/>
        <w:ind w:firstLine="4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Внешний контроль</w:t>
      </w:r>
    </w:p>
    <w:p w:rsidR="00DF7AF7" w:rsidRDefault="002E054F">
      <w:pPr>
        <w:spacing w:line="276" w:lineRule="auto"/>
        <w:ind w:firstLine="4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pacing w:line="276" w:lineRule="auto"/>
        <w:ind w:firstLine="4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Пояснения к контрольным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соотношениям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ф.0503317 и ф.0503152</w:t>
      </w:r>
    </w:p>
    <w:p w:rsidR="00DF7AF7" w:rsidRDefault="002E054F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Отклонение показателя по источникам отчета об исполнении консолидированного бюджета субъекта Российской Федерации и бюджета территориального государственного внебюджетного фонда (ф.0503317)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показателями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данными отчетно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органов Федерального казначейства Консолидированного отчета о кассовых поступлениях и выбытиях (ф.0503152)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(–) 515 440 285,85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уменьшение остатков по внутренним расчетам (021100000, 021200000) в разрезе средств, привлеченных на единые счета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юджетов субъектов РФ.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793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3080"/>
        <w:gridCol w:w="2169"/>
      </w:tblGrid>
      <w:tr w:rsidR="00DF7AF7">
        <w:trPr>
          <w:trHeight w:val="52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Отчет ф.0503317 (ф.428),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графа 31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Отчет ф.0503152 (ф.622),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графа13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Отклонение</w:t>
            </w:r>
          </w:p>
        </w:tc>
      </w:tr>
      <w:tr w:rsidR="00DF7AF7">
        <w:trPr>
          <w:trHeight w:val="263"/>
          <w:jc w:val="center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DF7AF7">
        <w:trPr>
          <w:trHeight w:val="579"/>
          <w:jc w:val="center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- 30 749 858 383,45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- 54 897 309 102,35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24 147 450 718,90</w:t>
            </w:r>
          </w:p>
        </w:tc>
      </w:tr>
      <w:tr w:rsidR="00DF7AF7">
        <w:trPr>
          <w:trHeight w:val="453"/>
          <w:jc w:val="center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30 233 592 508,23</w:t>
            </w:r>
          </w:p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54 896 483 512,98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- 24 662 891 004,75</w:t>
            </w:r>
          </w:p>
        </w:tc>
      </w:tr>
      <w:tr w:rsidR="00DF7AF7">
        <w:trPr>
          <w:trHeight w:val="131"/>
          <w:jc w:val="center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516 265 875,22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825 589,37</w:t>
            </w:r>
          </w:p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- 515 440 285 ,85</w:t>
            </w:r>
          </w:p>
          <w:p w:rsidR="00DF7AF7" w:rsidRDefault="002E054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</w:tbl>
    <w:p w:rsidR="00DF7AF7" w:rsidRDefault="002E054F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DF7AF7" w:rsidRDefault="002E054F">
      <w:pPr>
        <w:ind w:firstLine="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между КБК источников финансирования в связи с разным ведением учета Финансового органа субъекта и УФК по Мурманской области.</w:t>
      </w:r>
    </w:p>
    <w:p w:rsidR="00DF7AF7" w:rsidRDefault="002E054F">
      <w:pPr>
        <w:ind w:firstLine="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2420"/>
        <w:gridCol w:w="2323"/>
        <w:gridCol w:w="2644"/>
      </w:tblGrid>
      <w:tr w:rsidR="00DF7AF7">
        <w:trPr>
          <w:trHeight w:val="529"/>
        </w:trPr>
        <w:tc>
          <w:tcPr>
            <w:tcW w:w="2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источников финансирования</w:t>
            </w:r>
          </w:p>
        </w:tc>
        <w:tc>
          <w:tcPr>
            <w:tcW w:w="2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ф.0503317 (ф.428), гр.22</w:t>
            </w:r>
          </w:p>
        </w:tc>
        <w:tc>
          <w:tcPr>
            <w:tcW w:w="2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ф.0503152 (ф.622),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гр.4</w:t>
            </w:r>
          </w:p>
        </w:tc>
        <w:tc>
          <w:tcPr>
            <w:tcW w:w="26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DF7AF7">
        <w:trPr>
          <w:trHeight w:val="263"/>
        </w:trPr>
        <w:tc>
          <w:tcPr>
            <w:tcW w:w="2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F7AF7">
        <w:trPr>
          <w:trHeight w:val="263"/>
        </w:trPr>
        <w:tc>
          <w:tcPr>
            <w:tcW w:w="2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bookmarkStart w:id="0" w:name="RANGE!A3:A1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01050201020000510</w:t>
            </w:r>
            <w:bookmarkEnd w:id="0"/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bookmarkStart w:id="1" w:name="RANGE!B3:B17"/>
            <w:bookmarkStart w:id="2" w:name="RANGE!B3:B16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-361 769 757 308,67 </w:t>
            </w:r>
            <w:bookmarkEnd w:id="2"/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bookmarkStart w:id="3" w:name="RANGE!C3:C17"/>
            <w:bookmarkStart w:id="4" w:name="RANGE!C3:C16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-361 390 153 458,24 </w:t>
            </w:r>
            <w:bookmarkEnd w:id="4"/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bookmarkStart w:id="5" w:name="RANGE!D3:D17"/>
            <w:bookmarkStart w:id="6" w:name="RANGE!D3:D1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-379 603 850,43 </w:t>
            </w:r>
            <w:bookmarkEnd w:id="6"/>
          </w:p>
        </w:tc>
      </w:tr>
      <w:tr w:rsidR="00DF7AF7">
        <w:trPr>
          <w:trHeight w:val="263"/>
        </w:trPr>
        <w:tc>
          <w:tcPr>
            <w:tcW w:w="2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01050201020000610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363 316 648 594,07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362 937 044 743,64 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379 603 850,43 </w:t>
            </w:r>
          </w:p>
        </w:tc>
      </w:tr>
      <w:tr w:rsidR="00DF7AF7">
        <w:trPr>
          <w:trHeight w:val="263"/>
        </w:trPr>
        <w:tc>
          <w:tcPr>
            <w:tcW w:w="2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24 838 681 688,78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24 838 681 688,78 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</w:tbl>
    <w:p w:rsidR="00DF7AF7" w:rsidRDefault="002E054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2433"/>
        <w:gridCol w:w="2320"/>
        <w:gridCol w:w="2641"/>
      </w:tblGrid>
      <w:tr w:rsidR="00DF7AF7">
        <w:trPr>
          <w:trHeight w:val="529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КБК источников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24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ф.0503317 (ф.428), гр.24</w:t>
            </w:r>
          </w:p>
        </w:tc>
        <w:tc>
          <w:tcPr>
            <w:tcW w:w="2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ф.0503152 (ф.622), гр.6</w:t>
            </w:r>
          </w:p>
        </w:tc>
        <w:tc>
          <w:tcPr>
            <w:tcW w:w="26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01050201140000510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-34 831 043 014,22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-34 880 761 973,93 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49 718 959,71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01050201140000610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34 623 015 119,65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34 672 734 079,36 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-49 718 959,71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-100 179 114,85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-100 179 114,85 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</w:tbl>
    <w:p w:rsidR="00DF7AF7" w:rsidRDefault="002E054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2433"/>
        <w:gridCol w:w="2268"/>
        <w:gridCol w:w="2693"/>
      </w:tblGrid>
      <w:tr w:rsidR="00DF7AF7">
        <w:trPr>
          <w:trHeight w:val="529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источников финансирования</w:t>
            </w:r>
          </w:p>
        </w:tc>
        <w:tc>
          <w:tcPr>
            <w:tcW w:w="24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ф.0503317 (ф.428), гр.25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ф.0503152 (ф.622), гр.7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01050201040000510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-64 170 083 785,19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-64 180 455 952,95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10 372 167,76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01050201040000610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62 123 380 716,41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62 133 752 884,17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-10 372 167,76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2 895 232 581,39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2 895 232 581,39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</w:tbl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2433"/>
        <w:gridCol w:w="2268"/>
        <w:gridCol w:w="2693"/>
      </w:tblGrid>
      <w:tr w:rsidR="00DF7AF7">
        <w:trPr>
          <w:trHeight w:val="529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источников финансирования</w:t>
            </w:r>
          </w:p>
        </w:tc>
        <w:tc>
          <w:tcPr>
            <w:tcW w:w="24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ф.0503317 (ф.428), гр.28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ф.0503152 (ф.622), гр.10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01050201050000510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-14 519 374 921,91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-14 917 064 235,59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397 689 313,68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01050201050000610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14 497 793 982,34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14 895 483 296,02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-397 689 313,68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149 982 115,35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149 982 115,35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</w:tbl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78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2433"/>
        <w:gridCol w:w="2268"/>
        <w:gridCol w:w="2835"/>
      </w:tblGrid>
      <w:tr w:rsidR="00DF7AF7">
        <w:trPr>
          <w:trHeight w:val="529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источников финансирования</w:t>
            </w:r>
          </w:p>
        </w:tc>
        <w:tc>
          <w:tcPr>
            <w:tcW w:w="24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ф.0503317 (ф.428), гр.29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ф.0503152 (ф.622), гр.11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01050201130000510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-2 017 621 558,16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-2 045 668 076,91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28 046 518,75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01050201130000610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2 050 279 096,69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2 078 325 615,44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-28 046 518,75 </w:t>
            </w:r>
          </w:p>
        </w:tc>
      </w:tr>
      <w:tr w:rsidR="00DF7AF7">
        <w:trPr>
          <w:trHeight w:val="263"/>
        </w:trPr>
        <w:tc>
          <w:tcPr>
            <w:tcW w:w="2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16 657 538,53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16 657 538,53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</w:tbl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78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2440"/>
        <w:gridCol w:w="2268"/>
        <w:gridCol w:w="2835"/>
      </w:tblGrid>
      <w:tr w:rsidR="00DF7AF7">
        <w:trPr>
          <w:trHeight w:val="529"/>
        </w:trPr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источников финансирования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ф.0503317 (ф.428), гр.30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ф.0503152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(ф.622), гр.12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DF7AF7">
        <w:trPr>
          <w:trHeight w:val="263"/>
        </w:trPr>
        <w:tc>
          <w:tcPr>
            <w:tcW w:w="22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center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DF7AF7">
        <w:trPr>
          <w:trHeight w:val="263"/>
        </w:trPr>
        <w:tc>
          <w:tcPr>
            <w:tcW w:w="22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bookmarkStart w:id="7" w:name="RANGE!A3:D16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-386 722 513,01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-393 386 243,05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6 663 730,04 </w:t>
            </w:r>
          </w:p>
        </w:tc>
      </w:tr>
      <w:tr w:rsidR="00DF7AF7">
        <w:trPr>
          <w:trHeight w:val="263"/>
        </w:trPr>
        <w:tc>
          <w:tcPr>
            <w:tcW w:w="22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418 132 579,32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424 796 309,36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-6 663 730,04 </w:t>
            </w:r>
          </w:p>
        </w:tc>
      </w:tr>
      <w:tr w:rsidR="00DF7AF7">
        <w:trPr>
          <w:trHeight w:val="263"/>
        </w:trPr>
        <w:tc>
          <w:tcPr>
            <w:tcW w:w="22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bookmarkStart w:id="8" w:name="RANGE!A17:D17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  <w:bookmarkEnd w:id="8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31 410 066,31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31 410 066,31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shd w:val="clear" w:color="auto" w:fill="CCFFFF"/>
              <w:jc w:val="right"/>
              <w:rPr>
                <w:color w:val="000000"/>
                <w:shd w:val="clear" w:color="auto" w:fill="CC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</w:tbl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numPr>
          <w:ilvl w:val="0"/>
          <w:numId w:val="16"/>
        </w:numPr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Справочная таблица к отчету об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исполнении консолидированного бюджета субъекта Российской Федерации (ф. 0503387)</w:t>
      </w:r>
    </w:p>
    <w:p w:rsidR="00DF7AF7" w:rsidRDefault="002E054F">
      <w:pPr>
        <w:ind w:left="70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Междокументальный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контроль</w:t>
      </w:r>
    </w:p>
    <w:p w:rsidR="00DF7AF7" w:rsidRDefault="002E054F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Сумма показателей по КВР 121, 122, 129 гр. 43 ф. 0503387 не соответствует сумме показателей по КВР 129 гр. 29 ф. 0503317 – недопустимо</w:t>
      </w:r>
    </w:p>
    <w:p w:rsidR="00DF7AF7" w:rsidRDefault="002E054F">
      <w:pPr>
        <w:shd w:val="clear" w:color="auto" w:fill="FFFFFF"/>
        <w:ind w:right="20" w:firstLine="42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Courier New" w:eastAsia="Courier New" w:hAnsi="Courier New" w:cs="Courier New"/>
          <w:color w:val="000000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Письмо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Минфина России от 27 мая 2016 г. N 06-02-11/30516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учетные работники относятся к органам местного самоуправления, возможно нарушение контрольных соотношений в связи с тем, что расходы на фонд оплаты труда, иные выплаты персоналу и взносы по обязат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ельному социальному страхованию подлежат отражению как в строках 00210, 00220, 00230, так и в строках 00801, 00802, 00803).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numPr>
          <w:ilvl w:val="0"/>
          <w:numId w:val="17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Справка по консолидируемым расчетам ф. 0503125</w:t>
      </w:r>
    </w:p>
    <w:p w:rsidR="00DF7AF7" w:rsidRDefault="002E054F">
      <w:pPr>
        <w:shd w:val="clear" w:color="auto" w:fill="FFFFFF"/>
        <w:ind w:left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left="700"/>
        <w:jc w:val="center"/>
        <w:rPr>
          <w:color w:val="00000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lastRenderedPageBreak/>
        <w:t>Междокументальный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протокол</w:t>
      </w:r>
    </w:p>
    <w:p w:rsidR="00DF7AF7" w:rsidRDefault="002E054F">
      <w:pPr>
        <w:shd w:val="clear" w:color="auto" w:fill="FFFFFF"/>
        <w:ind w:left="70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F7AF7" w:rsidRDefault="002E054F">
      <w:pPr>
        <w:shd w:val="clear" w:color="auto" w:fill="FFFFFF"/>
        <w:ind w:left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Отклонение (подлежит описанию в Пояснительной записк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е) по главе 069</w:t>
      </w:r>
    </w:p>
    <w:p w:rsidR="00DF7AF7" w:rsidRDefault="002E054F">
      <w:pPr>
        <w:shd w:val="clear" w:color="auto" w:fill="FFFFFF"/>
        <w:ind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7 238 400,00 рублей - Министерство градостроительства и благоустройства Мурманской области ошибочно вернул остатки средств в федеральный бюджет с КБК 8142194542402000150 на КБК 06921825424010000150</w:t>
      </w:r>
    </w:p>
    <w:p w:rsidR="00DF7AF7" w:rsidRDefault="002E054F">
      <w:pPr>
        <w:shd w:val="clear" w:color="auto" w:fill="FFFFFF"/>
        <w:ind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left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Отклонение (подлежит описанию 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Пояснительной записке) по главе 797</w:t>
      </w:r>
    </w:p>
    <w:p w:rsidR="00DF7AF7" w:rsidRDefault="002E054F">
      <w:pPr>
        <w:shd w:val="clear" w:color="auto" w:fill="FFFFFF"/>
        <w:ind w:left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F7AF7" w:rsidRDefault="002E054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75 015 919,12 рублей – Социальный фонд России вернул остатки средств в бюджет субъекта РФ на КБК доходов 80321871020020000150 с КБК доходов         797219710200060000150. В течении 2025 года Социальный фонд России уточ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нил возврат средств на КБК доходов 79721933146060000150, не уведомив об этом администратора поступлений субъекта Российской Федерации от возврата остатков прочих субсидий, субвенций и иных межбюджетных трансфертов, имеющих целевое назначение</w:t>
      </w:r>
    </w:p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2E054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DF7AF7" w:rsidRDefault="002E054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F7AF7" w:rsidRDefault="00DF7AF7"/>
    <w:p w:rsidR="00DF7AF7" w:rsidRDefault="002E054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7AF7" w:rsidRDefault="002E054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716"/>
        <w:gridCol w:w="3114"/>
      </w:tblGrid>
      <w:tr w:rsidR="00DF7AF7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Е.Н. Вигандт</w:t>
            </w:r>
          </w:p>
        </w:tc>
      </w:tr>
      <w:tr w:rsidR="00DF7AF7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DF7AF7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F7AF7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7AF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 wp14:anchorId="6BBBB2C6" wp14:editId="1AC639E3">
                  <wp:extent cx="2857500" cy="95250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rPr>
                <w:sz w:val="24"/>
              </w:rPr>
            </w:pPr>
          </w:p>
        </w:tc>
      </w:tr>
      <w:tr w:rsidR="00DF7AF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F7AF7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DF7AF7">
            <w:pPr>
              <w:rPr>
                <w:sz w:val="24"/>
              </w:rPr>
            </w:pPr>
          </w:p>
        </w:tc>
      </w:tr>
      <w:tr w:rsidR="00DF7AF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ind w:left="-139" w:right="-288" w:firstLine="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7AF7" w:rsidRDefault="002E054F" w:rsidP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Дермелева О.В</w:t>
            </w:r>
            <w:bookmarkStart w:id="9" w:name="_GoBack"/>
            <w:bookmarkEnd w:id="9"/>
          </w:p>
        </w:tc>
      </w:tr>
      <w:tr w:rsidR="00DF7AF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F7AF7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2E054F" w:rsidP="002E054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»января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AF7" w:rsidRDefault="00DF7AF7">
            <w:pPr>
              <w:rPr>
                <w:sz w:val="24"/>
              </w:rPr>
            </w:pPr>
          </w:p>
        </w:tc>
      </w:tr>
    </w:tbl>
    <w:p w:rsidR="00DF7AF7" w:rsidRDefault="002E054F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DF7AF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CC768"/>
    <w:multiLevelType w:val="hybridMultilevel"/>
    <w:tmpl w:val="35101EC8"/>
    <w:lvl w:ilvl="0" w:tplc="4026E87E">
      <w:start w:val="9"/>
      <w:numFmt w:val="decimal"/>
      <w:lvlText w:val="%1."/>
      <w:lvlJc w:val="left"/>
      <w:pPr>
        <w:ind w:left="720" w:hanging="360"/>
      </w:pPr>
    </w:lvl>
    <w:lvl w:ilvl="1" w:tplc="11E784E8">
      <w:start w:val="1"/>
      <w:numFmt w:val="decimal"/>
      <w:lvlText w:val="%2."/>
      <w:lvlJc w:val="left"/>
      <w:pPr>
        <w:ind w:left="1440" w:hanging="360"/>
      </w:pPr>
    </w:lvl>
    <w:lvl w:ilvl="2" w:tplc="287352C3">
      <w:start w:val="1"/>
      <w:numFmt w:val="decimal"/>
      <w:lvlText w:val="%3."/>
      <w:lvlJc w:val="left"/>
      <w:pPr>
        <w:ind w:left="2160" w:hanging="360"/>
      </w:pPr>
    </w:lvl>
    <w:lvl w:ilvl="3" w:tplc="7B352819">
      <w:start w:val="1"/>
      <w:numFmt w:val="decimal"/>
      <w:lvlText w:val="%4."/>
      <w:lvlJc w:val="left"/>
      <w:pPr>
        <w:ind w:left="2880" w:hanging="360"/>
      </w:pPr>
    </w:lvl>
    <w:lvl w:ilvl="4" w:tplc="3A833ED0">
      <w:start w:val="1"/>
      <w:numFmt w:val="decimal"/>
      <w:lvlText w:val="%5."/>
      <w:lvlJc w:val="left"/>
      <w:pPr>
        <w:ind w:left="3600" w:hanging="360"/>
      </w:pPr>
    </w:lvl>
    <w:lvl w:ilvl="5" w:tplc="2E4799CE">
      <w:start w:val="1"/>
      <w:numFmt w:val="decimal"/>
      <w:lvlText w:val="%6."/>
      <w:lvlJc w:val="left"/>
      <w:pPr>
        <w:ind w:left="4320" w:hanging="360"/>
      </w:pPr>
    </w:lvl>
    <w:lvl w:ilvl="6" w:tplc="23C122C0">
      <w:start w:val="1"/>
      <w:numFmt w:val="decimal"/>
      <w:lvlText w:val="%7."/>
      <w:lvlJc w:val="left"/>
      <w:pPr>
        <w:ind w:left="5040" w:hanging="360"/>
      </w:pPr>
    </w:lvl>
    <w:lvl w:ilvl="7" w:tplc="2AC9D2F4">
      <w:start w:val="1"/>
      <w:numFmt w:val="decimal"/>
      <w:lvlText w:val="%8."/>
      <w:lvlJc w:val="left"/>
      <w:pPr>
        <w:ind w:left="5760" w:hanging="360"/>
      </w:pPr>
    </w:lvl>
    <w:lvl w:ilvl="8" w:tplc="40F6BC84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84D6937"/>
    <w:multiLevelType w:val="hybridMultilevel"/>
    <w:tmpl w:val="D0CE29B4"/>
    <w:lvl w:ilvl="0" w:tplc="208373E7">
      <w:start w:val="10"/>
      <w:numFmt w:val="decimal"/>
      <w:lvlText w:val="%1."/>
      <w:lvlJc w:val="left"/>
      <w:pPr>
        <w:ind w:left="720" w:hanging="360"/>
      </w:pPr>
    </w:lvl>
    <w:lvl w:ilvl="1" w:tplc="2C89728A">
      <w:start w:val="1"/>
      <w:numFmt w:val="decimal"/>
      <w:lvlText w:val="%2."/>
      <w:lvlJc w:val="left"/>
      <w:pPr>
        <w:ind w:left="1440" w:hanging="360"/>
      </w:pPr>
    </w:lvl>
    <w:lvl w:ilvl="2" w:tplc="37294269">
      <w:start w:val="1"/>
      <w:numFmt w:val="decimal"/>
      <w:lvlText w:val="%3."/>
      <w:lvlJc w:val="left"/>
      <w:pPr>
        <w:ind w:left="2160" w:hanging="360"/>
      </w:pPr>
    </w:lvl>
    <w:lvl w:ilvl="3" w:tplc="26484F31">
      <w:start w:val="1"/>
      <w:numFmt w:val="decimal"/>
      <w:lvlText w:val="%4."/>
      <w:lvlJc w:val="left"/>
      <w:pPr>
        <w:ind w:left="2880" w:hanging="360"/>
      </w:pPr>
    </w:lvl>
    <w:lvl w:ilvl="4" w:tplc="5F172E87">
      <w:start w:val="1"/>
      <w:numFmt w:val="decimal"/>
      <w:lvlText w:val="%5."/>
      <w:lvlJc w:val="left"/>
      <w:pPr>
        <w:ind w:left="3600" w:hanging="360"/>
      </w:pPr>
    </w:lvl>
    <w:lvl w:ilvl="5" w:tplc="2EEA53D4">
      <w:start w:val="1"/>
      <w:numFmt w:val="decimal"/>
      <w:lvlText w:val="%6."/>
      <w:lvlJc w:val="left"/>
      <w:pPr>
        <w:ind w:left="4320" w:hanging="360"/>
      </w:pPr>
    </w:lvl>
    <w:lvl w:ilvl="6" w:tplc="0EFEDAA8">
      <w:start w:val="1"/>
      <w:numFmt w:val="decimal"/>
      <w:lvlText w:val="%7."/>
      <w:lvlJc w:val="left"/>
      <w:pPr>
        <w:ind w:left="5040" w:hanging="360"/>
      </w:pPr>
    </w:lvl>
    <w:lvl w:ilvl="7" w:tplc="5A4E7EDC">
      <w:start w:val="1"/>
      <w:numFmt w:val="decimal"/>
      <w:lvlText w:val="%8."/>
      <w:lvlJc w:val="left"/>
      <w:pPr>
        <w:ind w:left="5760" w:hanging="360"/>
      </w:pPr>
    </w:lvl>
    <w:lvl w:ilvl="8" w:tplc="2A39E9E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8B78355"/>
    <w:multiLevelType w:val="hybridMultilevel"/>
    <w:tmpl w:val="1F44BC64"/>
    <w:lvl w:ilvl="0" w:tplc="4887452C">
      <w:start w:val="1"/>
      <w:numFmt w:val="decimal"/>
      <w:lvlText w:val="%1."/>
      <w:lvlJc w:val="left"/>
      <w:pPr>
        <w:ind w:left="720" w:hanging="360"/>
      </w:pPr>
    </w:lvl>
    <w:lvl w:ilvl="1" w:tplc="79A0FA8D">
      <w:start w:val="1"/>
      <w:numFmt w:val="decimal"/>
      <w:lvlText w:val="%2."/>
      <w:lvlJc w:val="left"/>
      <w:pPr>
        <w:ind w:left="1440" w:hanging="360"/>
      </w:pPr>
    </w:lvl>
    <w:lvl w:ilvl="2" w:tplc="07821D75">
      <w:start w:val="1"/>
      <w:numFmt w:val="decimal"/>
      <w:lvlText w:val="%3."/>
      <w:lvlJc w:val="left"/>
      <w:pPr>
        <w:ind w:left="2160" w:hanging="360"/>
      </w:pPr>
    </w:lvl>
    <w:lvl w:ilvl="3" w:tplc="5F0A1155">
      <w:start w:val="1"/>
      <w:numFmt w:val="decimal"/>
      <w:lvlText w:val="%4."/>
      <w:lvlJc w:val="left"/>
      <w:pPr>
        <w:ind w:left="2880" w:hanging="360"/>
      </w:pPr>
    </w:lvl>
    <w:lvl w:ilvl="4" w:tplc="4487C045">
      <w:start w:val="1"/>
      <w:numFmt w:val="decimal"/>
      <w:lvlText w:val="%5."/>
      <w:lvlJc w:val="left"/>
      <w:pPr>
        <w:ind w:left="3600" w:hanging="360"/>
      </w:pPr>
    </w:lvl>
    <w:lvl w:ilvl="5" w:tplc="10EEABE7">
      <w:start w:val="1"/>
      <w:numFmt w:val="decimal"/>
      <w:lvlText w:val="%6."/>
      <w:lvlJc w:val="left"/>
      <w:pPr>
        <w:ind w:left="4320" w:hanging="360"/>
      </w:pPr>
    </w:lvl>
    <w:lvl w:ilvl="6" w:tplc="2230E03D">
      <w:start w:val="1"/>
      <w:numFmt w:val="decimal"/>
      <w:lvlText w:val="%7."/>
      <w:lvlJc w:val="left"/>
      <w:pPr>
        <w:ind w:left="5040" w:hanging="360"/>
      </w:pPr>
    </w:lvl>
    <w:lvl w:ilvl="7" w:tplc="1A757352">
      <w:start w:val="1"/>
      <w:numFmt w:val="decimal"/>
      <w:lvlText w:val="%8."/>
      <w:lvlJc w:val="left"/>
      <w:pPr>
        <w:ind w:left="5760" w:hanging="360"/>
      </w:pPr>
    </w:lvl>
    <w:lvl w:ilvl="8" w:tplc="1E5CC493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11720095"/>
    <w:multiLevelType w:val="hybridMultilevel"/>
    <w:tmpl w:val="201A0674"/>
    <w:lvl w:ilvl="0" w:tplc="3D146456">
      <w:start w:val="1"/>
      <w:numFmt w:val="decimal"/>
      <w:lvlText w:val="%1."/>
      <w:lvlJc w:val="left"/>
      <w:pPr>
        <w:ind w:left="720" w:hanging="360"/>
      </w:pPr>
    </w:lvl>
    <w:lvl w:ilvl="1" w:tplc="06C6455B">
      <w:start w:val="1"/>
      <w:numFmt w:val="decimal"/>
      <w:lvlText w:val="%2."/>
      <w:lvlJc w:val="left"/>
      <w:pPr>
        <w:ind w:left="1440" w:hanging="360"/>
      </w:pPr>
    </w:lvl>
    <w:lvl w:ilvl="2" w:tplc="7D9BF272">
      <w:start w:val="1"/>
      <w:numFmt w:val="decimal"/>
      <w:lvlText w:val="%3."/>
      <w:lvlJc w:val="left"/>
      <w:pPr>
        <w:ind w:left="2160" w:hanging="360"/>
      </w:pPr>
    </w:lvl>
    <w:lvl w:ilvl="3" w:tplc="4B18A71B">
      <w:start w:val="1"/>
      <w:numFmt w:val="decimal"/>
      <w:lvlText w:val="%4."/>
      <w:lvlJc w:val="left"/>
      <w:pPr>
        <w:ind w:left="2880" w:hanging="360"/>
      </w:pPr>
    </w:lvl>
    <w:lvl w:ilvl="4" w:tplc="0784D50B">
      <w:start w:val="1"/>
      <w:numFmt w:val="decimal"/>
      <w:lvlText w:val="%5."/>
      <w:lvlJc w:val="left"/>
      <w:pPr>
        <w:ind w:left="3600" w:hanging="360"/>
      </w:pPr>
    </w:lvl>
    <w:lvl w:ilvl="5" w:tplc="4070B1BF">
      <w:start w:val="1"/>
      <w:numFmt w:val="decimal"/>
      <w:lvlText w:val="%6."/>
      <w:lvlJc w:val="left"/>
      <w:pPr>
        <w:ind w:left="4320" w:hanging="360"/>
      </w:pPr>
    </w:lvl>
    <w:lvl w:ilvl="6" w:tplc="39930E3E">
      <w:start w:val="1"/>
      <w:numFmt w:val="decimal"/>
      <w:lvlText w:val="%7."/>
      <w:lvlJc w:val="left"/>
      <w:pPr>
        <w:ind w:left="5040" w:hanging="360"/>
      </w:pPr>
    </w:lvl>
    <w:lvl w:ilvl="7" w:tplc="3D8A956C">
      <w:start w:val="1"/>
      <w:numFmt w:val="decimal"/>
      <w:lvlText w:val="%8."/>
      <w:lvlJc w:val="left"/>
      <w:pPr>
        <w:ind w:left="5760" w:hanging="360"/>
      </w:pPr>
    </w:lvl>
    <w:lvl w:ilvl="8" w:tplc="00FC3AC6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1AAF8C2"/>
    <w:multiLevelType w:val="hybridMultilevel"/>
    <w:tmpl w:val="29285854"/>
    <w:lvl w:ilvl="0" w:tplc="4FEEF362">
      <w:start w:val="2"/>
      <w:numFmt w:val="decimal"/>
      <w:lvlText w:val="%1."/>
      <w:lvlJc w:val="left"/>
      <w:pPr>
        <w:ind w:left="720" w:hanging="360"/>
      </w:pPr>
    </w:lvl>
    <w:lvl w:ilvl="1" w:tplc="7CD7B5EF">
      <w:start w:val="1"/>
      <w:numFmt w:val="decimal"/>
      <w:lvlText w:val="%2."/>
      <w:lvlJc w:val="left"/>
      <w:pPr>
        <w:ind w:left="1440" w:hanging="360"/>
      </w:pPr>
    </w:lvl>
    <w:lvl w:ilvl="2" w:tplc="3B5FEAB6">
      <w:start w:val="1"/>
      <w:numFmt w:val="decimal"/>
      <w:lvlText w:val="%3."/>
      <w:lvlJc w:val="left"/>
      <w:pPr>
        <w:ind w:left="2160" w:hanging="360"/>
      </w:pPr>
    </w:lvl>
    <w:lvl w:ilvl="3" w:tplc="45C788FF">
      <w:start w:val="1"/>
      <w:numFmt w:val="decimal"/>
      <w:lvlText w:val="%4."/>
      <w:lvlJc w:val="left"/>
      <w:pPr>
        <w:ind w:left="2880" w:hanging="360"/>
      </w:pPr>
    </w:lvl>
    <w:lvl w:ilvl="4" w:tplc="675B5FDD">
      <w:start w:val="1"/>
      <w:numFmt w:val="decimal"/>
      <w:lvlText w:val="%5."/>
      <w:lvlJc w:val="left"/>
      <w:pPr>
        <w:ind w:left="3600" w:hanging="360"/>
      </w:pPr>
    </w:lvl>
    <w:lvl w:ilvl="5" w:tplc="22AB331F">
      <w:start w:val="1"/>
      <w:numFmt w:val="decimal"/>
      <w:lvlText w:val="%6."/>
      <w:lvlJc w:val="left"/>
      <w:pPr>
        <w:ind w:left="4320" w:hanging="360"/>
      </w:pPr>
    </w:lvl>
    <w:lvl w:ilvl="6" w:tplc="2355310E">
      <w:start w:val="1"/>
      <w:numFmt w:val="decimal"/>
      <w:lvlText w:val="%7."/>
      <w:lvlJc w:val="left"/>
      <w:pPr>
        <w:ind w:left="5040" w:hanging="360"/>
      </w:pPr>
    </w:lvl>
    <w:lvl w:ilvl="7" w:tplc="616FD74A">
      <w:start w:val="1"/>
      <w:numFmt w:val="decimal"/>
      <w:lvlText w:val="%8."/>
      <w:lvlJc w:val="left"/>
      <w:pPr>
        <w:ind w:left="5760" w:hanging="360"/>
      </w:pPr>
    </w:lvl>
    <w:lvl w:ilvl="8" w:tplc="5101FD1C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5C3D0F5"/>
    <w:multiLevelType w:val="hybridMultilevel"/>
    <w:tmpl w:val="8268632E"/>
    <w:lvl w:ilvl="0" w:tplc="7EF16119">
      <w:start w:val="4"/>
      <w:numFmt w:val="decimal"/>
      <w:lvlText w:val="%1."/>
      <w:lvlJc w:val="left"/>
      <w:pPr>
        <w:ind w:left="720" w:hanging="360"/>
      </w:pPr>
    </w:lvl>
    <w:lvl w:ilvl="1" w:tplc="27AF9B3B">
      <w:start w:val="1"/>
      <w:numFmt w:val="decimal"/>
      <w:lvlText w:val="%2."/>
      <w:lvlJc w:val="left"/>
      <w:pPr>
        <w:ind w:left="1440" w:hanging="360"/>
      </w:pPr>
    </w:lvl>
    <w:lvl w:ilvl="2" w:tplc="2AB574A7">
      <w:start w:val="1"/>
      <w:numFmt w:val="decimal"/>
      <w:lvlText w:val="%3."/>
      <w:lvlJc w:val="left"/>
      <w:pPr>
        <w:ind w:left="2160" w:hanging="360"/>
      </w:pPr>
    </w:lvl>
    <w:lvl w:ilvl="3" w:tplc="6660D4BE">
      <w:start w:val="1"/>
      <w:numFmt w:val="decimal"/>
      <w:lvlText w:val="%4."/>
      <w:lvlJc w:val="left"/>
      <w:pPr>
        <w:ind w:left="2880" w:hanging="360"/>
      </w:pPr>
    </w:lvl>
    <w:lvl w:ilvl="4" w:tplc="09A4180A">
      <w:start w:val="1"/>
      <w:numFmt w:val="decimal"/>
      <w:lvlText w:val="%5."/>
      <w:lvlJc w:val="left"/>
      <w:pPr>
        <w:ind w:left="3600" w:hanging="360"/>
      </w:pPr>
    </w:lvl>
    <w:lvl w:ilvl="5" w:tplc="11A9E806">
      <w:start w:val="1"/>
      <w:numFmt w:val="decimal"/>
      <w:lvlText w:val="%6."/>
      <w:lvlJc w:val="left"/>
      <w:pPr>
        <w:ind w:left="4320" w:hanging="360"/>
      </w:pPr>
    </w:lvl>
    <w:lvl w:ilvl="6" w:tplc="31B6E73C">
      <w:start w:val="1"/>
      <w:numFmt w:val="decimal"/>
      <w:lvlText w:val="%7."/>
      <w:lvlJc w:val="left"/>
      <w:pPr>
        <w:ind w:left="5040" w:hanging="360"/>
      </w:pPr>
    </w:lvl>
    <w:lvl w:ilvl="7" w:tplc="710BC910">
      <w:start w:val="1"/>
      <w:numFmt w:val="decimal"/>
      <w:lvlText w:val="%8."/>
      <w:lvlJc w:val="left"/>
      <w:pPr>
        <w:ind w:left="5760" w:hanging="360"/>
      </w:pPr>
    </w:lvl>
    <w:lvl w:ilvl="8" w:tplc="43E99ADE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244E75C7"/>
    <w:multiLevelType w:val="hybridMultilevel"/>
    <w:tmpl w:val="CA9EBB6C"/>
    <w:lvl w:ilvl="0" w:tplc="0892D94A">
      <w:start w:val="3"/>
      <w:numFmt w:val="decimal"/>
      <w:lvlText w:val="%1."/>
      <w:lvlJc w:val="left"/>
      <w:pPr>
        <w:ind w:left="720" w:hanging="360"/>
      </w:pPr>
    </w:lvl>
    <w:lvl w:ilvl="1" w:tplc="374A70F4">
      <w:start w:val="1"/>
      <w:numFmt w:val="decimal"/>
      <w:lvlText w:val="%2."/>
      <w:lvlJc w:val="left"/>
      <w:pPr>
        <w:ind w:left="1440" w:hanging="360"/>
      </w:pPr>
    </w:lvl>
    <w:lvl w:ilvl="2" w:tplc="090EAEE1">
      <w:start w:val="1"/>
      <w:numFmt w:val="decimal"/>
      <w:lvlText w:val="%3."/>
      <w:lvlJc w:val="left"/>
      <w:pPr>
        <w:ind w:left="2160" w:hanging="360"/>
      </w:pPr>
    </w:lvl>
    <w:lvl w:ilvl="3" w:tplc="17F62D87">
      <w:start w:val="1"/>
      <w:numFmt w:val="decimal"/>
      <w:lvlText w:val="%4."/>
      <w:lvlJc w:val="left"/>
      <w:pPr>
        <w:ind w:left="2880" w:hanging="360"/>
      </w:pPr>
    </w:lvl>
    <w:lvl w:ilvl="4" w:tplc="4DE2C26E">
      <w:start w:val="1"/>
      <w:numFmt w:val="decimal"/>
      <w:lvlText w:val="%5."/>
      <w:lvlJc w:val="left"/>
      <w:pPr>
        <w:ind w:left="3600" w:hanging="360"/>
      </w:pPr>
    </w:lvl>
    <w:lvl w:ilvl="5" w:tplc="44549F46">
      <w:start w:val="1"/>
      <w:numFmt w:val="decimal"/>
      <w:lvlText w:val="%6."/>
      <w:lvlJc w:val="left"/>
      <w:pPr>
        <w:ind w:left="4320" w:hanging="360"/>
      </w:pPr>
    </w:lvl>
    <w:lvl w:ilvl="6" w:tplc="22B352A9">
      <w:start w:val="1"/>
      <w:numFmt w:val="decimal"/>
      <w:lvlText w:val="%7."/>
      <w:lvlJc w:val="left"/>
      <w:pPr>
        <w:ind w:left="5040" w:hanging="360"/>
      </w:pPr>
    </w:lvl>
    <w:lvl w:ilvl="7" w:tplc="4C7AF14F">
      <w:start w:val="1"/>
      <w:numFmt w:val="decimal"/>
      <w:lvlText w:val="%8."/>
      <w:lvlJc w:val="left"/>
      <w:pPr>
        <w:ind w:left="5760" w:hanging="360"/>
      </w:pPr>
    </w:lvl>
    <w:lvl w:ilvl="8" w:tplc="1DA6F53C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3D3BA348"/>
    <w:multiLevelType w:val="hybridMultilevel"/>
    <w:tmpl w:val="BB7C1BE6"/>
    <w:lvl w:ilvl="0" w:tplc="61BBAFC3">
      <w:start w:val="3"/>
      <w:numFmt w:val="decimal"/>
      <w:lvlText w:val="%1."/>
      <w:lvlJc w:val="left"/>
      <w:pPr>
        <w:ind w:left="720" w:hanging="360"/>
      </w:pPr>
    </w:lvl>
    <w:lvl w:ilvl="1" w:tplc="2CA557A3">
      <w:start w:val="1"/>
      <w:numFmt w:val="decimal"/>
      <w:lvlText w:val="%2."/>
      <w:lvlJc w:val="left"/>
      <w:pPr>
        <w:ind w:left="1440" w:hanging="360"/>
      </w:pPr>
    </w:lvl>
    <w:lvl w:ilvl="2" w:tplc="64DC1A12">
      <w:start w:val="1"/>
      <w:numFmt w:val="decimal"/>
      <w:lvlText w:val="%3."/>
      <w:lvlJc w:val="left"/>
      <w:pPr>
        <w:ind w:left="2160" w:hanging="360"/>
      </w:pPr>
    </w:lvl>
    <w:lvl w:ilvl="3" w:tplc="523130FA">
      <w:start w:val="1"/>
      <w:numFmt w:val="decimal"/>
      <w:lvlText w:val="%4."/>
      <w:lvlJc w:val="left"/>
      <w:pPr>
        <w:ind w:left="2880" w:hanging="360"/>
      </w:pPr>
    </w:lvl>
    <w:lvl w:ilvl="4" w:tplc="3A17342C">
      <w:start w:val="1"/>
      <w:numFmt w:val="decimal"/>
      <w:lvlText w:val="%5."/>
      <w:lvlJc w:val="left"/>
      <w:pPr>
        <w:ind w:left="3600" w:hanging="360"/>
      </w:pPr>
    </w:lvl>
    <w:lvl w:ilvl="5" w:tplc="2A4B8CFA">
      <w:start w:val="1"/>
      <w:numFmt w:val="decimal"/>
      <w:lvlText w:val="%6."/>
      <w:lvlJc w:val="left"/>
      <w:pPr>
        <w:ind w:left="4320" w:hanging="360"/>
      </w:pPr>
    </w:lvl>
    <w:lvl w:ilvl="6" w:tplc="64478737">
      <w:start w:val="1"/>
      <w:numFmt w:val="decimal"/>
      <w:lvlText w:val="%7."/>
      <w:lvlJc w:val="left"/>
      <w:pPr>
        <w:ind w:left="5040" w:hanging="360"/>
      </w:pPr>
    </w:lvl>
    <w:lvl w:ilvl="7" w:tplc="031FAA48">
      <w:start w:val="1"/>
      <w:numFmt w:val="decimal"/>
      <w:lvlText w:val="%8."/>
      <w:lvlJc w:val="left"/>
      <w:pPr>
        <w:ind w:left="5760" w:hanging="360"/>
      </w:pPr>
    </w:lvl>
    <w:lvl w:ilvl="8" w:tplc="2A96E060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3DD6178D"/>
    <w:multiLevelType w:val="hybridMultilevel"/>
    <w:tmpl w:val="16D06AF2"/>
    <w:lvl w:ilvl="0" w:tplc="2D929C27">
      <w:start w:val="2"/>
      <w:numFmt w:val="decimal"/>
      <w:lvlText w:val="%1."/>
      <w:lvlJc w:val="left"/>
      <w:pPr>
        <w:ind w:left="720" w:hanging="360"/>
      </w:pPr>
    </w:lvl>
    <w:lvl w:ilvl="1" w:tplc="59D79CF9">
      <w:start w:val="1"/>
      <w:numFmt w:val="decimal"/>
      <w:lvlText w:val="%2."/>
      <w:lvlJc w:val="left"/>
      <w:pPr>
        <w:ind w:left="1440" w:hanging="360"/>
      </w:pPr>
    </w:lvl>
    <w:lvl w:ilvl="2" w:tplc="39356734">
      <w:start w:val="1"/>
      <w:numFmt w:val="decimal"/>
      <w:lvlText w:val="%3."/>
      <w:lvlJc w:val="left"/>
      <w:pPr>
        <w:ind w:left="2160" w:hanging="360"/>
      </w:pPr>
    </w:lvl>
    <w:lvl w:ilvl="3" w:tplc="687A6FDE">
      <w:start w:val="1"/>
      <w:numFmt w:val="decimal"/>
      <w:lvlText w:val="%4."/>
      <w:lvlJc w:val="left"/>
      <w:pPr>
        <w:ind w:left="2880" w:hanging="360"/>
      </w:pPr>
    </w:lvl>
    <w:lvl w:ilvl="4" w:tplc="7AC05798">
      <w:start w:val="1"/>
      <w:numFmt w:val="decimal"/>
      <w:lvlText w:val="%5."/>
      <w:lvlJc w:val="left"/>
      <w:pPr>
        <w:ind w:left="3600" w:hanging="360"/>
      </w:pPr>
    </w:lvl>
    <w:lvl w:ilvl="5" w:tplc="2297ED38">
      <w:start w:val="1"/>
      <w:numFmt w:val="decimal"/>
      <w:lvlText w:val="%6."/>
      <w:lvlJc w:val="left"/>
      <w:pPr>
        <w:ind w:left="4320" w:hanging="360"/>
      </w:pPr>
    </w:lvl>
    <w:lvl w:ilvl="6" w:tplc="3FF7940D">
      <w:start w:val="1"/>
      <w:numFmt w:val="decimal"/>
      <w:lvlText w:val="%7."/>
      <w:lvlJc w:val="left"/>
      <w:pPr>
        <w:ind w:left="5040" w:hanging="360"/>
      </w:pPr>
    </w:lvl>
    <w:lvl w:ilvl="7" w:tplc="78793A6B">
      <w:start w:val="1"/>
      <w:numFmt w:val="decimal"/>
      <w:lvlText w:val="%8."/>
      <w:lvlJc w:val="left"/>
      <w:pPr>
        <w:ind w:left="5760" w:hanging="360"/>
      </w:pPr>
    </w:lvl>
    <w:lvl w:ilvl="8" w:tplc="40E2CEF4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42430E0E"/>
    <w:multiLevelType w:val="hybridMultilevel"/>
    <w:tmpl w:val="97EE2A60"/>
    <w:lvl w:ilvl="0" w:tplc="3764B561">
      <w:start w:val="1"/>
      <w:numFmt w:val="decimal"/>
      <w:lvlText w:val="%1."/>
      <w:lvlJc w:val="left"/>
      <w:pPr>
        <w:ind w:left="720" w:hanging="360"/>
      </w:pPr>
    </w:lvl>
    <w:lvl w:ilvl="1" w:tplc="704116B9">
      <w:start w:val="1"/>
      <w:numFmt w:val="decimal"/>
      <w:lvlText w:val="%2."/>
      <w:lvlJc w:val="left"/>
      <w:pPr>
        <w:ind w:left="1440" w:hanging="360"/>
      </w:pPr>
    </w:lvl>
    <w:lvl w:ilvl="2" w:tplc="2EB52C69">
      <w:start w:val="1"/>
      <w:numFmt w:val="decimal"/>
      <w:lvlText w:val="%3."/>
      <w:lvlJc w:val="left"/>
      <w:pPr>
        <w:ind w:left="2160" w:hanging="360"/>
      </w:pPr>
    </w:lvl>
    <w:lvl w:ilvl="3" w:tplc="65545847">
      <w:start w:val="1"/>
      <w:numFmt w:val="decimal"/>
      <w:lvlText w:val="%4."/>
      <w:lvlJc w:val="left"/>
      <w:pPr>
        <w:ind w:left="2880" w:hanging="360"/>
      </w:pPr>
    </w:lvl>
    <w:lvl w:ilvl="4" w:tplc="3DFA4D20">
      <w:start w:val="1"/>
      <w:numFmt w:val="decimal"/>
      <w:lvlText w:val="%5."/>
      <w:lvlJc w:val="left"/>
      <w:pPr>
        <w:ind w:left="3600" w:hanging="360"/>
      </w:pPr>
    </w:lvl>
    <w:lvl w:ilvl="5" w:tplc="0EEFC050">
      <w:start w:val="1"/>
      <w:numFmt w:val="decimal"/>
      <w:lvlText w:val="%6."/>
      <w:lvlJc w:val="left"/>
      <w:pPr>
        <w:ind w:left="4320" w:hanging="360"/>
      </w:pPr>
    </w:lvl>
    <w:lvl w:ilvl="6" w:tplc="5C033DE6">
      <w:start w:val="1"/>
      <w:numFmt w:val="decimal"/>
      <w:lvlText w:val="%7."/>
      <w:lvlJc w:val="left"/>
      <w:pPr>
        <w:ind w:left="5040" w:hanging="360"/>
      </w:pPr>
    </w:lvl>
    <w:lvl w:ilvl="7" w:tplc="4DC57774">
      <w:start w:val="1"/>
      <w:numFmt w:val="decimal"/>
      <w:lvlText w:val="%8."/>
      <w:lvlJc w:val="left"/>
      <w:pPr>
        <w:ind w:left="5760" w:hanging="360"/>
      </w:pPr>
    </w:lvl>
    <w:lvl w:ilvl="8" w:tplc="286E705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4352A564"/>
    <w:multiLevelType w:val="hybridMultilevel"/>
    <w:tmpl w:val="8CB6893A"/>
    <w:lvl w:ilvl="0" w:tplc="3B8DF990">
      <w:start w:val="8"/>
      <w:numFmt w:val="decimal"/>
      <w:lvlText w:val="%1."/>
      <w:lvlJc w:val="left"/>
      <w:pPr>
        <w:ind w:left="720" w:hanging="360"/>
      </w:pPr>
    </w:lvl>
    <w:lvl w:ilvl="1" w:tplc="6248C29E">
      <w:start w:val="1"/>
      <w:numFmt w:val="decimal"/>
      <w:lvlText w:val="%2."/>
      <w:lvlJc w:val="left"/>
      <w:pPr>
        <w:ind w:left="1440" w:hanging="360"/>
      </w:pPr>
    </w:lvl>
    <w:lvl w:ilvl="2" w:tplc="5242652D">
      <w:start w:val="1"/>
      <w:numFmt w:val="decimal"/>
      <w:lvlText w:val="%3."/>
      <w:lvlJc w:val="left"/>
      <w:pPr>
        <w:ind w:left="2160" w:hanging="360"/>
      </w:pPr>
    </w:lvl>
    <w:lvl w:ilvl="3" w:tplc="471DDE5F">
      <w:start w:val="1"/>
      <w:numFmt w:val="decimal"/>
      <w:lvlText w:val="%4."/>
      <w:lvlJc w:val="left"/>
      <w:pPr>
        <w:ind w:left="2880" w:hanging="360"/>
      </w:pPr>
    </w:lvl>
    <w:lvl w:ilvl="4" w:tplc="100885FE">
      <w:start w:val="1"/>
      <w:numFmt w:val="decimal"/>
      <w:lvlText w:val="%5."/>
      <w:lvlJc w:val="left"/>
      <w:pPr>
        <w:ind w:left="3600" w:hanging="360"/>
      </w:pPr>
    </w:lvl>
    <w:lvl w:ilvl="5" w:tplc="29EB37BD">
      <w:start w:val="1"/>
      <w:numFmt w:val="decimal"/>
      <w:lvlText w:val="%6."/>
      <w:lvlJc w:val="left"/>
      <w:pPr>
        <w:ind w:left="4320" w:hanging="360"/>
      </w:pPr>
    </w:lvl>
    <w:lvl w:ilvl="6" w:tplc="487451A5">
      <w:start w:val="1"/>
      <w:numFmt w:val="decimal"/>
      <w:lvlText w:val="%7."/>
      <w:lvlJc w:val="left"/>
      <w:pPr>
        <w:ind w:left="5040" w:hanging="360"/>
      </w:pPr>
    </w:lvl>
    <w:lvl w:ilvl="7" w:tplc="07D936CD">
      <w:start w:val="1"/>
      <w:numFmt w:val="decimal"/>
      <w:lvlText w:val="%8."/>
      <w:lvlJc w:val="left"/>
      <w:pPr>
        <w:ind w:left="5760" w:hanging="360"/>
      </w:pPr>
    </w:lvl>
    <w:lvl w:ilvl="8" w:tplc="7AB5B4DE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5639A0F5"/>
    <w:multiLevelType w:val="hybridMultilevel"/>
    <w:tmpl w:val="0A907ACE"/>
    <w:lvl w:ilvl="0" w:tplc="73A74FEA">
      <w:start w:val="2"/>
      <w:numFmt w:val="decimal"/>
      <w:lvlText w:val="%1."/>
      <w:lvlJc w:val="left"/>
      <w:pPr>
        <w:ind w:left="720" w:hanging="360"/>
      </w:pPr>
    </w:lvl>
    <w:lvl w:ilvl="1" w:tplc="4731C768">
      <w:start w:val="1"/>
      <w:numFmt w:val="decimal"/>
      <w:lvlText w:val="%2."/>
      <w:lvlJc w:val="left"/>
      <w:pPr>
        <w:ind w:left="1440" w:hanging="360"/>
      </w:pPr>
    </w:lvl>
    <w:lvl w:ilvl="2" w:tplc="503385EE">
      <w:start w:val="1"/>
      <w:numFmt w:val="decimal"/>
      <w:lvlText w:val="%3."/>
      <w:lvlJc w:val="left"/>
      <w:pPr>
        <w:ind w:left="2160" w:hanging="360"/>
      </w:pPr>
    </w:lvl>
    <w:lvl w:ilvl="3" w:tplc="278B802D">
      <w:start w:val="1"/>
      <w:numFmt w:val="decimal"/>
      <w:lvlText w:val="%4."/>
      <w:lvlJc w:val="left"/>
      <w:pPr>
        <w:ind w:left="2880" w:hanging="360"/>
      </w:pPr>
    </w:lvl>
    <w:lvl w:ilvl="4" w:tplc="36C389A1">
      <w:start w:val="1"/>
      <w:numFmt w:val="decimal"/>
      <w:lvlText w:val="%5."/>
      <w:lvlJc w:val="left"/>
      <w:pPr>
        <w:ind w:left="3600" w:hanging="360"/>
      </w:pPr>
    </w:lvl>
    <w:lvl w:ilvl="5" w:tplc="09B48F87">
      <w:start w:val="1"/>
      <w:numFmt w:val="decimal"/>
      <w:lvlText w:val="%6."/>
      <w:lvlJc w:val="left"/>
      <w:pPr>
        <w:ind w:left="4320" w:hanging="360"/>
      </w:pPr>
    </w:lvl>
    <w:lvl w:ilvl="6" w:tplc="5EAE5259">
      <w:start w:val="1"/>
      <w:numFmt w:val="decimal"/>
      <w:lvlText w:val="%7."/>
      <w:lvlJc w:val="left"/>
      <w:pPr>
        <w:ind w:left="5040" w:hanging="360"/>
      </w:pPr>
    </w:lvl>
    <w:lvl w:ilvl="7" w:tplc="467D76BD">
      <w:start w:val="1"/>
      <w:numFmt w:val="decimal"/>
      <w:lvlText w:val="%8."/>
      <w:lvlJc w:val="left"/>
      <w:pPr>
        <w:ind w:left="5760" w:hanging="360"/>
      </w:pPr>
    </w:lvl>
    <w:lvl w:ilvl="8" w:tplc="0794595F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5C39DA4D"/>
    <w:multiLevelType w:val="hybridMultilevel"/>
    <w:tmpl w:val="264EFC5C"/>
    <w:lvl w:ilvl="0" w:tplc="17CC96E8">
      <w:start w:val="7"/>
      <w:numFmt w:val="decimal"/>
      <w:lvlText w:val="%1."/>
      <w:lvlJc w:val="left"/>
      <w:pPr>
        <w:ind w:left="720" w:hanging="360"/>
      </w:pPr>
    </w:lvl>
    <w:lvl w:ilvl="1" w:tplc="6578B50B">
      <w:start w:val="1"/>
      <w:numFmt w:val="decimal"/>
      <w:lvlText w:val="%2."/>
      <w:lvlJc w:val="left"/>
      <w:pPr>
        <w:ind w:left="1440" w:hanging="360"/>
      </w:pPr>
    </w:lvl>
    <w:lvl w:ilvl="2" w:tplc="6F08E6CE">
      <w:start w:val="1"/>
      <w:numFmt w:val="decimal"/>
      <w:lvlText w:val="%3."/>
      <w:lvlJc w:val="left"/>
      <w:pPr>
        <w:ind w:left="2160" w:hanging="360"/>
      </w:pPr>
    </w:lvl>
    <w:lvl w:ilvl="3" w:tplc="1CA89F7A">
      <w:start w:val="1"/>
      <w:numFmt w:val="decimal"/>
      <w:lvlText w:val="%4."/>
      <w:lvlJc w:val="left"/>
      <w:pPr>
        <w:ind w:left="2880" w:hanging="360"/>
      </w:pPr>
    </w:lvl>
    <w:lvl w:ilvl="4" w:tplc="556D360D">
      <w:start w:val="1"/>
      <w:numFmt w:val="decimal"/>
      <w:lvlText w:val="%5."/>
      <w:lvlJc w:val="left"/>
      <w:pPr>
        <w:ind w:left="3600" w:hanging="360"/>
      </w:pPr>
    </w:lvl>
    <w:lvl w:ilvl="5" w:tplc="63979646">
      <w:start w:val="1"/>
      <w:numFmt w:val="decimal"/>
      <w:lvlText w:val="%6."/>
      <w:lvlJc w:val="left"/>
      <w:pPr>
        <w:ind w:left="4320" w:hanging="360"/>
      </w:pPr>
    </w:lvl>
    <w:lvl w:ilvl="6" w:tplc="56584FBF">
      <w:start w:val="1"/>
      <w:numFmt w:val="decimal"/>
      <w:lvlText w:val="%7."/>
      <w:lvlJc w:val="left"/>
      <w:pPr>
        <w:ind w:left="5040" w:hanging="360"/>
      </w:pPr>
    </w:lvl>
    <w:lvl w:ilvl="7" w:tplc="5FB8E04C">
      <w:start w:val="1"/>
      <w:numFmt w:val="decimal"/>
      <w:lvlText w:val="%8."/>
      <w:lvlJc w:val="left"/>
      <w:pPr>
        <w:ind w:left="5760" w:hanging="360"/>
      </w:pPr>
    </w:lvl>
    <w:lvl w:ilvl="8" w:tplc="49359660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6B1AA04E"/>
    <w:multiLevelType w:val="hybridMultilevel"/>
    <w:tmpl w:val="83D2B82A"/>
    <w:lvl w:ilvl="0" w:tplc="045FD47D">
      <w:start w:val="9"/>
      <w:numFmt w:val="decimal"/>
      <w:lvlText w:val="%1."/>
      <w:lvlJc w:val="left"/>
      <w:pPr>
        <w:ind w:left="720" w:hanging="360"/>
      </w:pPr>
    </w:lvl>
    <w:lvl w:ilvl="1" w:tplc="1C438DD4">
      <w:start w:val="1"/>
      <w:numFmt w:val="decimal"/>
      <w:lvlText w:val="%2."/>
      <w:lvlJc w:val="left"/>
      <w:pPr>
        <w:ind w:left="1440" w:hanging="360"/>
      </w:pPr>
    </w:lvl>
    <w:lvl w:ilvl="2" w:tplc="762257EC">
      <w:start w:val="1"/>
      <w:numFmt w:val="decimal"/>
      <w:lvlText w:val="%3."/>
      <w:lvlJc w:val="left"/>
      <w:pPr>
        <w:ind w:left="2160" w:hanging="360"/>
      </w:pPr>
    </w:lvl>
    <w:lvl w:ilvl="3" w:tplc="76E7DFAB">
      <w:start w:val="1"/>
      <w:numFmt w:val="decimal"/>
      <w:lvlText w:val="%4."/>
      <w:lvlJc w:val="left"/>
      <w:pPr>
        <w:ind w:left="2880" w:hanging="360"/>
      </w:pPr>
    </w:lvl>
    <w:lvl w:ilvl="4" w:tplc="44197448">
      <w:start w:val="1"/>
      <w:numFmt w:val="decimal"/>
      <w:lvlText w:val="%5."/>
      <w:lvlJc w:val="left"/>
      <w:pPr>
        <w:ind w:left="3600" w:hanging="360"/>
      </w:pPr>
    </w:lvl>
    <w:lvl w:ilvl="5" w:tplc="00572B9E">
      <w:start w:val="1"/>
      <w:numFmt w:val="decimal"/>
      <w:lvlText w:val="%6."/>
      <w:lvlJc w:val="left"/>
      <w:pPr>
        <w:ind w:left="4320" w:hanging="360"/>
      </w:pPr>
    </w:lvl>
    <w:lvl w:ilvl="6" w:tplc="5A201574">
      <w:start w:val="1"/>
      <w:numFmt w:val="decimal"/>
      <w:lvlText w:val="%7."/>
      <w:lvlJc w:val="left"/>
      <w:pPr>
        <w:ind w:left="5040" w:hanging="360"/>
      </w:pPr>
    </w:lvl>
    <w:lvl w:ilvl="7" w:tplc="10A71FA0">
      <w:start w:val="1"/>
      <w:numFmt w:val="decimal"/>
      <w:lvlText w:val="%8."/>
      <w:lvlJc w:val="left"/>
      <w:pPr>
        <w:ind w:left="5760" w:hanging="360"/>
      </w:pPr>
    </w:lvl>
    <w:lvl w:ilvl="8" w:tplc="2E90CE7C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6B4E9D1E"/>
    <w:multiLevelType w:val="hybridMultilevel"/>
    <w:tmpl w:val="1E0C153A"/>
    <w:lvl w:ilvl="0" w:tplc="797A1D4F">
      <w:start w:val="5"/>
      <w:numFmt w:val="decimal"/>
      <w:lvlText w:val="%1."/>
      <w:lvlJc w:val="left"/>
      <w:pPr>
        <w:ind w:left="720" w:hanging="360"/>
      </w:pPr>
    </w:lvl>
    <w:lvl w:ilvl="1" w:tplc="70E4E20B">
      <w:start w:val="1"/>
      <w:numFmt w:val="decimal"/>
      <w:lvlText w:val="%2."/>
      <w:lvlJc w:val="left"/>
      <w:pPr>
        <w:ind w:left="1440" w:hanging="360"/>
      </w:pPr>
    </w:lvl>
    <w:lvl w:ilvl="2" w:tplc="384FF6A9">
      <w:start w:val="1"/>
      <w:numFmt w:val="decimal"/>
      <w:lvlText w:val="%3."/>
      <w:lvlJc w:val="left"/>
      <w:pPr>
        <w:ind w:left="2160" w:hanging="360"/>
      </w:pPr>
    </w:lvl>
    <w:lvl w:ilvl="3" w:tplc="2A713FCF">
      <w:start w:val="1"/>
      <w:numFmt w:val="decimal"/>
      <w:lvlText w:val="%4."/>
      <w:lvlJc w:val="left"/>
      <w:pPr>
        <w:ind w:left="2880" w:hanging="360"/>
      </w:pPr>
    </w:lvl>
    <w:lvl w:ilvl="4" w:tplc="2396A9C1">
      <w:start w:val="1"/>
      <w:numFmt w:val="decimal"/>
      <w:lvlText w:val="%5."/>
      <w:lvlJc w:val="left"/>
      <w:pPr>
        <w:ind w:left="3600" w:hanging="360"/>
      </w:pPr>
    </w:lvl>
    <w:lvl w:ilvl="5" w:tplc="4CE5ED8B">
      <w:start w:val="1"/>
      <w:numFmt w:val="decimal"/>
      <w:lvlText w:val="%6."/>
      <w:lvlJc w:val="left"/>
      <w:pPr>
        <w:ind w:left="4320" w:hanging="360"/>
      </w:pPr>
    </w:lvl>
    <w:lvl w:ilvl="6" w:tplc="044E6F8C">
      <w:start w:val="1"/>
      <w:numFmt w:val="decimal"/>
      <w:lvlText w:val="%7."/>
      <w:lvlJc w:val="left"/>
      <w:pPr>
        <w:ind w:left="5040" w:hanging="360"/>
      </w:pPr>
    </w:lvl>
    <w:lvl w:ilvl="7" w:tplc="75C294E5">
      <w:start w:val="1"/>
      <w:numFmt w:val="decimal"/>
      <w:lvlText w:val="%8."/>
      <w:lvlJc w:val="left"/>
      <w:pPr>
        <w:ind w:left="5760" w:hanging="360"/>
      </w:pPr>
    </w:lvl>
    <w:lvl w:ilvl="8" w:tplc="07983B50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6EF1C8B0"/>
    <w:multiLevelType w:val="hybridMultilevel"/>
    <w:tmpl w:val="F67C894C"/>
    <w:lvl w:ilvl="0" w:tplc="29DDB16F">
      <w:start w:val="1"/>
      <w:numFmt w:val="decimal"/>
      <w:lvlText w:val="%1."/>
      <w:lvlJc w:val="left"/>
      <w:pPr>
        <w:ind w:left="720" w:hanging="360"/>
      </w:pPr>
    </w:lvl>
    <w:lvl w:ilvl="1" w:tplc="76561431">
      <w:start w:val="1"/>
      <w:numFmt w:val="decimal"/>
      <w:lvlText w:val="%2."/>
      <w:lvlJc w:val="left"/>
      <w:pPr>
        <w:ind w:left="1440" w:hanging="360"/>
      </w:pPr>
    </w:lvl>
    <w:lvl w:ilvl="2" w:tplc="3F89C760">
      <w:start w:val="1"/>
      <w:numFmt w:val="decimal"/>
      <w:lvlText w:val="%3."/>
      <w:lvlJc w:val="left"/>
      <w:pPr>
        <w:ind w:left="2160" w:hanging="360"/>
      </w:pPr>
    </w:lvl>
    <w:lvl w:ilvl="3" w:tplc="5D36907A">
      <w:start w:val="1"/>
      <w:numFmt w:val="decimal"/>
      <w:lvlText w:val="%4."/>
      <w:lvlJc w:val="left"/>
      <w:pPr>
        <w:ind w:left="2880" w:hanging="360"/>
      </w:pPr>
    </w:lvl>
    <w:lvl w:ilvl="4" w:tplc="7AC28A1D">
      <w:start w:val="1"/>
      <w:numFmt w:val="decimal"/>
      <w:lvlText w:val="%5."/>
      <w:lvlJc w:val="left"/>
      <w:pPr>
        <w:ind w:left="3600" w:hanging="360"/>
      </w:pPr>
    </w:lvl>
    <w:lvl w:ilvl="5" w:tplc="416816FD">
      <w:start w:val="1"/>
      <w:numFmt w:val="decimal"/>
      <w:lvlText w:val="%6."/>
      <w:lvlJc w:val="left"/>
      <w:pPr>
        <w:ind w:left="4320" w:hanging="360"/>
      </w:pPr>
    </w:lvl>
    <w:lvl w:ilvl="6" w:tplc="6657CB85">
      <w:start w:val="1"/>
      <w:numFmt w:val="decimal"/>
      <w:lvlText w:val="%7."/>
      <w:lvlJc w:val="left"/>
      <w:pPr>
        <w:ind w:left="5040" w:hanging="360"/>
      </w:pPr>
    </w:lvl>
    <w:lvl w:ilvl="7" w:tplc="233F7F23">
      <w:start w:val="1"/>
      <w:numFmt w:val="decimal"/>
      <w:lvlText w:val="%8."/>
      <w:lvlJc w:val="left"/>
      <w:pPr>
        <w:ind w:left="5760" w:hanging="360"/>
      </w:pPr>
    </w:lvl>
    <w:lvl w:ilvl="8" w:tplc="72C5D815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7330FC91"/>
    <w:multiLevelType w:val="hybridMultilevel"/>
    <w:tmpl w:val="81C27E84"/>
    <w:lvl w:ilvl="0" w:tplc="4DF324EA">
      <w:start w:val="2"/>
      <w:numFmt w:val="decimal"/>
      <w:lvlText w:val="%1."/>
      <w:lvlJc w:val="left"/>
      <w:pPr>
        <w:ind w:left="720" w:hanging="360"/>
      </w:pPr>
    </w:lvl>
    <w:lvl w:ilvl="1" w:tplc="69C93E68">
      <w:start w:val="1"/>
      <w:numFmt w:val="decimal"/>
      <w:lvlText w:val="%2."/>
      <w:lvlJc w:val="left"/>
      <w:pPr>
        <w:ind w:left="1440" w:hanging="360"/>
      </w:pPr>
    </w:lvl>
    <w:lvl w:ilvl="2" w:tplc="3F408BB3">
      <w:start w:val="1"/>
      <w:numFmt w:val="decimal"/>
      <w:lvlText w:val="%3."/>
      <w:lvlJc w:val="left"/>
      <w:pPr>
        <w:ind w:left="2160" w:hanging="360"/>
      </w:pPr>
    </w:lvl>
    <w:lvl w:ilvl="3" w:tplc="1564CA1B">
      <w:start w:val="1"/>
      <w:numFmt w:val="decimal"/>
      <w:lvlText w:val="%4."/>
      <w:lvlJc w:val="left"/>
      <w:pPr>
        <w:ind w:left="2880" w:hanging="360"/>
      </w:pPr>
    </w:lvl>
    <w:lvl w:ilvl="4" w:tplc="5C10D0B2">
      <w:start w:val="1"/>
      <w:numFmt w:val="decimal"/>
      <w:lvlText w:val="%5."/>
      <w:lvlJc w:val="left"/>
      <w:pPr>
        <w:ind w:left="3600" w:hanging="360"/>
      </w:pPr>
    </w:lvl>
    <w:lvl w:ilvl="5" w:tplc="173B1EB4">
      <w:start w:val="1"/>
      <w:numFmt w:val="decimal"/>
      <w:lvlText w:val="%6."/>
      <w:lvlJc w:val="left"/>
      <w:pPr>
        <w:ind w:left="4320" w:hanging="360"/>
      </w:pPr>
    </w:lvl>
    <w:lvl w:ilvl="6" w:tplc="41749011">
      <w:start w:val="1"/>
      <w:numFmt w:val="decimal"/>
      <w:lvlText w:val="%7."/>
      <w:lvlJc w:val="left"/>
      <w:pPr>
        <w:ind w:left="5040" w:hanging="360"/>
      </w:pPr>
    </w:lvl>
    <w:lvl w:ilvl="7" w:tplc="75DAED04">
      <w:start w:val="1"/>
      <w:numFmt w:val="decimal"/>
      <w:lvlText w:val="%8."/>
      <w:lvlJc w:val="left"/>
      <w:pPr>
        <w:ind w:left="5760" w:hanging="360"/>
      </w:pPr>
    </w:lvl>
    <w:lvl w:ilvl="8" w:tplc="0EB9CB82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</w:num>
  <w:num w:numId="2">
    <w:abstractNumId w:val="4"/>
  </w:num>
  <w:num w:numId="3">
    <w:abstractNumId w:val="16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14"/>
  </w:num>
  <w:num w:numId="9">
    <w:abstractNumId w:val="12"/>
  </w:num>
  <w:num w:numId="10">
    <w:abstractNumId w:val="15"/>
  </w:num>
  <w:num w:numId="11">
    <w:abstractNumId w:val="11"/>
  </w:num>
  <w:num w:numId="12">
    <w:abstractNumId w:val="6"/>
  </w:num>
  <w:num w:numId="13">
    <w:abstractNumId w:val="10"/>
  </w:num>
  <w:num w:numId="14">
    <w:abstractNumId w:val="13"/>
  </w:num>
  <w:num w:numId="15">
    <w:abstractNumId w:val="9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F7"/>
    <w:rsid w:val="002E054F"/>
    <w:rsid w:val="00D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91C5B7-766E-4873-8F23-B691A8A3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64DE2EF1A7D73F1094D9E74DD88691946DD2AF1C32BF751922A8DFA8B98D080BB588EB0A92FDAFB2BD2E1196B0C15859EEF0EF8SC56F" TargetMode="External"/><Relationship Id="rId13" Type="http://schemas.openxmlformats.org/officeDocument/2006/relationships/hyperlink" Target="consultantplus://offline/ref=1A064DE2EF1A7D73F1094D9E74DD88691946DD2AF1C32BF751922A8DFA8B98D080BB588EB0AD2FDAFB2BD2E1196B0C15859EEF0EF8SC56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064DE2EF1A7D73F1094D9E74DD88691946DD2AF1C32BF751922A8DFA8B98D080BB588EB0AD2FDAFB2BD2E1196B0C15859EEF0EF8SC56F" TargetMode="External"/><Relationship Id="rId12" Type="http://schemas.openxmlformats.org/officeDocument/2006/relationships/hyperlink" Target="consultantplus://offline/ref=C5F536AEFD953BFE3B8D7F79BDDBE45C2ADD8ECBD4D3D7F888FB35889BE9A618A675C631F14921E4C0ED86D73056D17D1A43FBDB21V263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36AEFD953BFE3B8D7F79BDDBE45C2ADD8ECBD4D3D7F888FB35889BE9A618A675C631F14921E4C0ED86D73056D17D1A43FBDB21V263F" TargetMode="External"/><Relationship Id="rId11" Type="http://schemas.openxmlformats.org/officeDocument/2006/relationships/hyperlink" Target="consultantplus://offline/ref=84A89A89923C1A255D35A4ABC5D71262812F03978D5988164C6685F88A785589759FA1D4DC92CD02B1EF431DF143848B1AAC86A4F25Ej9J" TargetMode="External"/><Relationship Id="rId5" Type="http://schemas.openxmlformats.org/officeDocument/2006/relationships/hyperlink" Target="consultantplus://offline/ref=01440B8838A6B3B70B3DBE5D7E776504224A8BEB89256E384333CD4E8E8A437C2BBB0CC51C902D850627CE241877AEC51B921A49DD452DE9z8uDF" TargetMode="External"/><Relationship Id="rId15" Type="http://schemas.openxmlformats.org/officeDocument/2006/relationships/image" Target="media/image1.png"/><Relationship Id="rId10" Type="http://schemas.openxmlformats.org/officeDocument/2006/relationships/hyperlink" Target="https://login.consultant.ru/link/?req=doc&amp;base=LAW&amp;n=448974&amp;dst=1041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70F4A297CDB716C9D486DADE54556F0D840441E4B98A028837B60814A38A57864AA2FEA1D0BF3DB764938559F65D38AFA94488F43CCFFBR0IBO" TargetMode="External"/><Relationship Id="rId14" Type="http://schemas.openxmlformats.org/officeDocument/2006/relationships/hyperlink" Target="consultantplus://offline/ref=1A064DE2EF1A7D73F1094D9E74DD88691946DD2AF1C32BF751922A8DFA8B98D080BB588EB0A92FDAFB2BD2E1196B0C15859EEF0EF8SC5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7073</Words>
  <Characters>40320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Кичангина О.В.</dc:creator>
  <cp:lastModifiedBy>Кичангина О.В.</cp:lastModifiedBy>
  <cp:revision>2</cp:revision>
  <dcterms:created xsi:type="dcterms:W3CDTF">2026-05-15T10:42:00Z</dcterms:created>
  <dcterms:modified xsi:type="dcterms:W3CDTF">2026-05-15T10:42:00Z</dcterms:modified>
</cp:coreProperties>
</file>